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B6" w:rsidRDefault="007007B6">
      <w:pPr>
        <w:jc w:val="center"/>
      </w:pPr>
    </w:p>
    <w:p w:rsidR="007007B6" w:rsidRDefault="007007B6">
      <w:pPr>
        <w:jc w:val="center"/>
      </w:pPr>
    </w:p>
    <w:p w:rsidR="007007B6" w:rsidRDefault="000F61A7">
      <w:pPr>
        <w:jc w:val="center"/>
        <w:rPr>
          <w:b/>
        </w:rPr>
      </w:pPr>
      <w:r>
        <w:rPr>
          <w:b/>
        </w:rPr>
        <w:t>Республика Коми Муниципальное Бюджетное Учреждение Культуры</w:t>
      </w:r>
    </w:p>
    <w:p w:rsidR="007007B6" w:rsidRDefault="000F61A7">
      <w:pPr>
        <w:jc w:val="center"/>
        <w:rPr>
          <w:b/>
        </w:rPr>
      </w:pPr>
      <w:r>
        <w:rPr>
          <w:b/>
        </w:rPr>
        <w:t xml:space="preserve"> «</w:t>
      </w:r>
      <w:proofErr w:type="spellStart"/>
      <w:r>
        <w:rPr>
          <w:b/>
        </w:rPr>
        <w:t>Койгородский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киновидеоцентр</w:t>
      </w:r>
      <w:proofErr w:type="spellEnd"/>
      <w:r>
        <w:rPr>
          <w:b/>
        </w:rPr>
        <w:t>».</w:t>
      </w:r>
    </w:p>
    <w:p w:rsidR="007007B6" w:rsidRDefault="000F61A7">
      <w:pPr>
        <w:jc w:val="center"/>
        <w:rPr>
          <w:b/>
        </w:rPr>
      </w:pPr>
      <w:r>
        <w:rPr>
          <w:b/>
        </w:rPr>
        <w:t xml:space="preserve">Коми </w:t>
      </w:r>
      <w:proofErr w:type="spellStart"/>
      <w:r>
        <w:rPr>
          <w:b/>
        </w:rPr>
        <w:t>Республикаса</w:t>
      </w:r>
      <w:proofErr w:type="spellEnd"/>
      <w:r>
        <w:rPr>
          <w:b/>
        </w:rPr>
        <w:t xml:space="preserve"> «</w:t>
      </w:r>
      <w:proofErr w:type="spellStart"/>
      <w:r>
        <w:rPr>
          <w:b/>
        </w:rPr>
        <w:t>Койгортса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киновидеошöрин</w:t>
      </w:r>
      <w:proofErr w:type="spellEnd"/>
      <w:r>
        <w:rPr>
          <w:b/>
        </w:rPr>
        <w:t>»</w:t>
      </w:r>
    </w:p>
    <w:p w:rsidR="007007B6" w:rsidRDefault="000F61A7">
      <w:pPr>
        <w:jc w:val="center"/>
        <w:rPr>
          <w:b/>
        </w:rPr>
      </w:pPr>
      <w:proofErr w:type="spellStart"/>
      <w:r>
        <w:rPr>
          <w:b/>
        </w:rPr>
        <w:t>муниципальнöй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сьöмкуд</w:t>
      </w:r>
      <w:proofErr w:type="spellEnd"/>
      <w:r>
        <w:rPr>
          <w:b/>
        </w:rPr>
        <w:t xml:space="preserve"> культура учреждение.</w:t>
      </w:r>
    </w:p>
    <w:p w:rsidR="007007B6" w:rsidRDefault="007007B6"/>
    <w:p w:rsidR="007007B6" w:rsidRDefault="000F61A7">
      <w:pPr>
        <w:ind w:left="141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007B6" w:rsidRDefault="000F61A7" w:rsidP="001D63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7007B6" w:rsidRDefault="007007B6" w:rsidP="001D63CC">
      <w:pPr>
        <w:spacing w:line="360" w:lineRule="auto"/>
        <w:jc w:val="center"/>
        <w:rPr>
          <w:b/>
          <w:sz w:val="28"/>
          <w:szCs w:val="28"/>
        </w:rPr>
      </w:pPr>
    </w:p>
    <w:p w:rsidR="007007B6" w:rsidRDefault="000F61A7" w:rsidP="001D63CC">
      <w:pPr>
        <w:spacing w:line="360" w:lineRule="auto"/>
        <w:jc w:val="center"/>
      </w:pPr>
      <w:r>
        <w:rPr>
          <w:sz w:val="28"/>
          <w:szCs w:val="28"/>
        </w:rPr>
        <w:t>12.01.2015                                                                                            02/1 о/д</w:t>
      </w:r>
    </w:p>
    <w:p w:rsidR="007007B6" w:rsidRDefault="000F61A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 Койгородок</w:t>
      </w:r>
    </w:p>
    <w:p w:rsidR="007007B6" w:rsidRDefault="007007B6">
      <w:pPr>
        <w:pStyle w:val="a9"/>
        <w:jc w:val="both"/>
        <w:rPr>
          <w:sz w:val="28"/>
          <w:szCs w:val="28"/>
        </w:rPr>
      </w:pPr>
    </w:p>
    <w:p w:rsidR="007007B6" w:rsidRDefault="000F61A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критериев</w:t>
      </w:r>
    </w:p>
    <w:p w:rsidR="007007B6" w:rsidRDefault="000F61A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эффективности работников</w:t>
      </w:r>
    </w:p>
    <w:p w:rsidR="007007B6" w:rsidRDefault="000F61A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МБУК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 xml:space="preserve">» </w:t>
      </w:r>
    </w:p>
    <w:p w:rsidR="007007B6" w:rsidRDefault="007007B6">
      <w:pPr>
        <w:pStyle w:val="a9"/>
        <w:jc w:val="both"/>
        <w:rPr>
          <w:sz w:val="28"/>
          <w:szCs w:val="28"/>
        </w:rPr>
      </w:pPr>
    </w:p>
    <w:p w:rsidR="007007B6" w:rsidRDefault="000F61A7" w:rsidP="007926F3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плана мероприятий («дорожная карта»)» изменения в отраслях социальной сферы, на</w:t>
      </w:r>
      <w:bookmarkStart w:id="0" w:name="_GoBack"/>
      <w:bookmarkEnd w:id="0"/>
      <w:r>
        <w:rPr>
          <w:sz w:val="28"/>
          <w:szCs w:val="28"/>
        </w:rPr>
        <w:t>правленные на повышение эффективности сферы культуры в  МО МР «Койгородский»</w:t>
      </w:r>
    </w:p>
    <w:p w:rsidR="007007B6" w:rsidRDefault="007007B6">
      <w:pPr>
        <w:pStyle w:val="a9"/>
        <w:spacing w:line="276" w:lineRule="auto"/>
        <w:jc w:val="both"/>
        <w:rPr>
          <w:sz w:val="28"/>
          <w:szCs w:val="28"/>
        </w:rPr>
      </w:pPr>
    </w:p>
    <w:p w:rsidR="007007B6" w:rsidRDefault="000F61A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7007B6" w:rsidRDefault="000F61A7">
      <w:pPr>
        <w:spacing w:line="360" w:lineRule="auto"/>
        <w:ind w:firstLine="708"/>
        <w:jc w:val="both"/>
      </w:pPr>
      <w:r>
        <w:rPr>
          <w:sz w:val="28"/>
          <w:szCs w:val="28"/>
        </w:rPr>
        <w:t xml:space="preserve">1.Утвердить изменения  критериев эффективности  деятельности работников  </w:t>
      </w:r>
      <w:proofErr w:type="spellStart"/>
      <w:r>
        <w:rPr>
          <w:sz w:val="28"/>
          <w:szCs w:val="28"/>
        </w:rPr>
        <w:t>Киновидеоцентра</w:t>
      </w:r>
      <w:proofErr w:type="spellEnd"/>
      <w:r>
        <w:rPr>
          <w:sz w:val="28"/>
          <w:szCs w:val="28"/>
        </w:rPr>
        <w:t>, согласно Положению   о выплатах стимулирующего характера работникам Муниципального бюджетного учреждения культуры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 xml:space="preserve">». </w:t>
      </w:r>
    </w:p>
    <w:p w:rsidR="007007B6" w:rsidRDefault="000F6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Работником учреждения  неукоснительно следовать исполнению критериев.</w:t>
      </w:r>
    </w:p>
    <w:p w:rsidR="007007B6" w:rsidRDefault="000F61A7">
      <w:pPr>
        <w:spacing w:line="360" w:lineRule="auto"/>
        <w:ind w:firstLine="708"/>
        <w:jc w:val="both"/>
      </w:pPr>
      <w:r>
        <w:rPr>
          <w:sz w:val="28"/>
          <w:szCs w:val="28"/>
        </w:rPr>
        <w:t>3.Отчет об исполнении  представлять в установленный отчетный период (конец квартала)</w:t>
      </w:r>
    </w:p>
    <w:p w:rsidR="007007B6" w:rsidRDefault="000F6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 основании критериев эффективности, производить оценку результативности.</w:t>
      </w:r>
    </w:p>
    <w:p w:rsidR="007007B6" w:rsidRDefault="000F61A7">
      <w:pPr>
        <w:spacing w:line="360" w:lineRule="auto"/>
        <w:ind w:firstLine="708"/>
        <w:jc w:val="both"/>
      </w:pPr>
      <w:r>
        <w:rPr>
          <w:sz w:val="28"/>
          <w:szCs w:val="28"/>
        </w:rPr>
        <w:t>на основании  представленных подтверждающих документов производить стимулирующие  выплаты согласно приложению № 1</w:t>
      </w:r>
    </w:p>
    <w:p w:rsidR="007007B6" w:rsidRDefault="000F6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Не исполнение требований влечет дисциплинарное взыскание.</w:t>
      </w:r>
    </w:p>
    <w:p w:rsidR="007007B6" w:rsidRDefault="000F6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данного приказа оставляю за собой.</w:t>
      </w:r>
    </w:p>
    <w:p w:rsidR="007007B6" w:rsidRDefault="000F61A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Приказ от  30.05.2014 № 09 о/д признать утратившим силу.</w:t>
      </w:r>
    </w:p>
    <w:p w:rsidR="007007B6" w:rsidRDefault="000F61A7">
      <w:pPr>
        <w:spacing w:line="360" w:lineRule="auto"/>
        <w:jc w:val="both"/>
      </w:pPr>
      <w:r>
        <w:rPr>
          <w:sz w:val="28"/>
          <w:szCs w:val="28"/>
        </w:rPr>
        <w:t xml:space="preserve">Директор </w:t>
      </w:r>
    </w:p>
    <w:p w:rsidR="007007B6" w:rsidRDefault="000F61A7">
      <w:pPr>
        <w:spacing w:line="360" w:lineRule="auto"/>
        <w:jc w:val="both"/>
      </w:pP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Койгородский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киновидеоцентр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Тонких</w:t>
      </w:r>
    </w:p>
    <w:p w:rsidR="007007B6" w:rsidRDefault="000F61A7">
      <w:pPr>
        <w:spacing w:line="360" w:lineRule="auto"/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№ 1</w:t>
      </w:r>
    </w:p>
    <w:tbl>
      <w:tblPr>
        <w:tblW w:w="10065" w:type="dxa"/>
        <w:tblInd w:w="-2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3" w:type="dxa"/>
        </w:tblCellMar>
        <w:tblLook w:val="04A0" w:firstRow="1" w:lastRow="0" w:firstColumn="1" w:lastColumn="0" w:noHBand="0" w:noVBand="1"/>
      </w:tblPr>
      <w:tblGrid>
        <w:gridCol w:w="2681"/>
        <w:gridCol w:w="1725"/>
        <w:gridCol w:w="1428"/>
        <w:gridCol w:w="1515"/>
        <w:gridCol w:w="1377"/>
        <w:gridCol w:w="1339"/>
      </w:tblGrid>
      <w:tr w:rsidR="007007B6" w:rsidTr="000F61A7">
        <w:tc>
          <w:tcPr>
            <w:tcW w:w="872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jc w:val="center"/>
            </w:pPr>
            <w:r>
              <w:t>Стимулирующие выплаты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jc w:val="center"/>
            </w:pPr>
            <w:r>
              <w:t>Баллы</w:t>
            </w: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оказании платных услуг (показ фильмов)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 рублей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 рублей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 рублей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рублей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баллов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баллов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баллов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культурно-досуговых мероприятий для детей и подростков </w:t>
            </w:r>
          </w:p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не менее 32% от общего количества мероприятий)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Отсутствие жалоб и замечаний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кружком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посещений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</w:pPr>
            <w:r>
              <w:t>20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плана демонстраций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</w:pPr>
            <w:r>
              <w:rPr>
                <w:sz w:val="22"/>
                <w:szCs w:val="22"/>
              </w:rPr>
              <w:t xml:space="preserve">10 </w:t>
            </w:r>
            <w:bookmarkStart w:id="1" w:name="__DdeLink__356_1024105595"/>
            <w:bookmarkEnd w:id="1"/>
            <w:r>
              <w:rPr>
                <w:sz w:val="22"/>
                <w:szCs w:val="22"/>
              </w:rPr>
              <w:t>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both"/>
            </w:pPr>
            <w:r>
              <w:rPr>
                <w:szCs w:val="22"/>
              </w:rPr>
              <w:t>Осуществление самостоятельной творческой работы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t>да/нет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bCs/>
              </w:rPr>
            </w:pPr>
          </w:p>
          <w:p w:rsidR="007007B6" w:rsidRDefault="007007B6">
            <w:pPr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5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both"/>
            </w:pPr>
            <w:r>
              <w:t>Положительная динамика посещений массовых мероприятий детьми и подростками.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t>да/нет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bCs/>
              </w:rPr>
            </w:pPr>
          </w:p>
          <w:p w:rsidR="007007B6" w:rsidRDefault="007007B6">
            <w:pPr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  <w:rPr>
                <w:bCs/>
              </w:rPr>
            </w:pPr>
            <w:r>
              <w:rPr>
                <w:bCs/>
                <w:szCs w:val="22"/>
              </w:rPr>
              <w:t>10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</w:pPr>
            <w:r>
              <w:rPr>
                <w:sz w:val="22"/>
                <w:szCs w:val="22"/>
              </w:rPr>
              <w:t>Публикации в СМИ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статья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ind w:left="31"/>
              <w:jc w:val="both"/>
            </w:pPr>
            <w:r>
              <w:t>Участие в проектах, конкурсах, программах (районных, республиканских, региональных, всероссийских). Приказ, или иные подтверждающие документы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</w:pPr>
          </w:p>
          <w:p w:rsidR="007007B6" w:rsidRDefault="007007B6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</w:pPr>
          </w:p>
          <w:p w:rsidR="007007B6" w:rsidRDefault="000F61A7">
            <w:pPr>
              <w:jc w:val="center"/>
            </w:pPr>
            <w:r>
              <w:t>да/нет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bCs/>
              </w:rPr>
            </w:pPr>
          </w:p>
          <w:p w:rsidR="007007B6" w:rsidRDefault="000F61A7">
            <w:pPr>
              <w:jc w:val="center"/>
              <w:rPr>
                <w:bCs/>
              </w:rPr>
            </w:pPr>
            <w:r>
              <w:rPr>
                <w:bCs/>
              </w:rPr>
              <w:t>Полугодовая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rPr>
                <w:szCs w:val="22"/>
              </w:rPr>
              <w:t>0-30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1006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ind w:left="31"/>
              <w:jc w:val="center"/>
            </w:pPr>
            <w:r>
              <w:rPr>
                <w:color w:val="000000"/>
              </w:rPr>
              <w:t xml:space="preserve">Проведение мероприятий            </w:t>
            </w:r>
            <w:r>
              <w:rPr>
                <w:bCs/>
              </w:rPr>
              <w:t>0-60</w:t>
            </w: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 менее 4-х мероприятий в месяц, документально зафиксированных со сценарно-методической разработкой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color w:val="000000"/>
              </w:rPr>
            </w:pPr>
          </w:p>
          <w:p w:rsidR="007007B6" w:rsidRDefault="000F6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rPr>
                <w:szCs w:val="22"/>
              </w:rPr>
              <w:t>10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менее 2-х выставок, 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jc w:val="center"/>
              <w:rPr>
                <w:color w:val="000000"/>
              </w:rPr>
            </w:pPr>
          </w:p>
          <w:p w:rsidR="007007B6" w:rsidRDefault="000F61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both"/>
              <w:rPr>
                <w:bCs/>
                <w:color w:val="000000"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документально зафиксированных 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rPr>
                <w:szCs w:val="22"/>
              </w:rPr>
              <w:t>20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  <w:tr w:rsidR="007007B6" w:rsidTr="000F61A7">
        <w:tc>
          <w:tcPr>
            <w:tcW w:w="2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ind w:left="42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районных и  республиканских мероприятиях (не менее одного в квартал)</w:t>
            </w:r>
          </w:p>
        </w:tc>
        <w:tc>
          <w:tcPr>
            <w:tcW w:w="17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ind w:left="42"/>
              <w:jc w:val="center"/>
              <w:rPr>
                <w:color w:val="000000"/>
              </w:rPr>
            </w:pPr>
            <w:r>
              <w:rPr>
                <w:color w:val="000000"/>
              </w:rPr>
              <w:t>ед.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15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pStyle w:val="a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квартально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0F61A7">
            <w:pPr>
              <w:jc w:val="center"/>
            </w:pPr>
            <w:r>
              <w:rPr>
                <w:szCs w:val="22"/>
              </w:rPr>
              <w:t>30 баллов</w:t>
            </w:r>
          </w:p>
        </w:tc>
        <w:tc>
          <w:tcPr>
            <w:tcW w:w="1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7007B6" w:rsidRDefault="007007B6">
            <w:pPr>
              <w:pStyle w:val="a9"/>
            </w:pPr>
          </w:p>
        </w:tc>
      </w:tr>
    </w:tbl>
    <w:p w:rsidR="007007B6" w:rsidRDefault="000F61A7">
      <w:pPr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100- 90 баллов = 50% </w:t>
      </w:r>
    </w:p>
    <w:p w:rsidR="007007B6" w:rsidRDefault="000F61A7">
      <w:pPr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90-80 баллов = 40 % </w:t>
      </w:r>
    </w:p>
    <w:p w:rsidR="007007B6" w:rsidRDefault="000F61A7">
      <w:pPr>
        <w:widowControl w:val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80-70% баллов =20%</w:t>
      </w:r>
    </w:p>
    <w:p w:rsidR="007007B6" w:rsidRDefault="000F61A7">
      <w:pPr>
        <w:widowControl w:val="0"/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60-50% баллов = 15%</w:t>
      </w:r>
    </w:p>
    <w:p w:rsidR="007007B6" w:rsidRDefault="007007B6">
      <w:pPr>
        <w:pStyle w:val="a9"/>
        <w:jc w:val="center"/>
        <w:rPr>
          <w:b/>
          <w:i/>
        </w:rPr>
      </w:pPr>
    </w:p>
    <w:p w:rsidR="007007B6" w:rsidRPr="000F61A7" w:rsidRDefault="000F61A7">
      <w:pPr>
        <w:pStyle w:val="a9"/>
        <w:jc w:val="center"/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Пояснения </w:t>
      </w:r>
      <w:proofErr w:type="gramStart"/>
      <w:r w:rsidRPr="000F61A7">
        <w:rPr>
          <w:b/>
          <w:i/>
          <w:sz w:val="21"/>
          <w:szCs w:val="21"/>
        </w:rPr>
        <w:t>к</w:t>
      </w:r>
      <w:proofErr w:type="gramEnd"/>
      <w:r w:rsidRPr="000F61A7">
        <w:rPr>
          <w:b/>
          <w:i/>
          <w:sz w:val="21"/>
          <w:szCs w:val="21"/>
        </w:rPr>
        <w:t xml:space="preserve"> </w:t>
      </w:r>
      <w:proofErr w:type="gramStart"/>
      <w:r w:rsidRPr="000F61A7">
        <w:rPr>
          <w:b/>
          <w:i/>
          <w:sz w:val="21"/>
          <w:szCs w:val="21"/>
        </w:rPr>
        <w:t>критерии</w:t>
      </w:r>
      <w:proofErr w:type="gramEnd"/>
      <w:r w:rsidRPr="000F61A7">
        <w:rPr>
          <w:b/>
          <w:i/>
          <w:sz w:val="21"/>
          <w:szCs w:val="21"/>
        </w:rPr>
        <w:t xml:space="preserve">  эффективности деятельности работников </w:t>
      </w:r>
    </w:p>
    <w:p w:rsidR="007007B6" w:rsidRPr="000F61A7" w:rsidRDefault="000F61A7">
      <w:pPr>
        <w:pStyle w:val="a9"/>
        <w:jc w:val="center"/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>«</w:t>
      </w:r>
      <w:proofErr w:type="spellStart"/>
      <w:r w:rsidRPr="000F61A7">
        <w:rPr>
          <w:b/>
          <w:i/>
          <w:sz w:val="21"/>
          <w:szCs w:val="21"/>
        </w:rPr>
        <w:t>Койгородского</w:t>
      </w:r>
      <w:proofErr w:type="spellEnd"/>
      <w:r w:rsidRPr="000F61A7">
        <w:rPr>
          <w:b/>
          <w:i/>
          <w:sz w:val="21"/>
          <w:szCs w:val="21"/>
        </w:rPr>
        <w:t xml:space="preserve"> </w:t>
      </w:r>
      <w:proofErr w:type="spellStart"/>
      <w:r w:rsidRPr="000F61A7">
        <w:rPr>
          <w:b/>
          <w:i/>
          <w:sz w:val="21"/>
          <w:szCs w:val="21"/>
        </w:rPr>
        <w:t>киновидеоцентра</w:t>
      </w:r>
      <w:proofErr w:type="spellEnd"/>
      <w:r w:rsidRPr="000F61A7">
        <w:rPr>
          <w:b/>
          <w:i/>
          <w:sz w:val="21"/>
          <w:szCs w:val="21"/>
        </w:rPr>
        <w:t>»</w:t>
      </w:r>
    </w:p>
    <w:p w:rsidR="007007B6" w:rsidRPr="000F61A7" w:rsidRDefault="007007B6">
      <w:pPr>
        <w:pStyle w:val="a9"/>
        <w:jc w:val="center"/>
        <w:rPr>
          <w:b/>
          <w:i/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  <w:r w:rsidRPr="000F61A7">
        <w:rPr>
          <w:b/>
          <w:i/>
          <w:sz w:val="21"/>
          <w:szCs w:val="21"/>
        </w:rPr>
        <w:t xml:space="preserve">Высокое профессиональное мастерство с учетом фактической загрузки в репертуаре </w:t>
      </w:r>
      <w:r w:rsidRPr="000F61A7">
        <w:rPr>
          <w:sz w:val="21"/>
          <w:szCs w:val="21"/>
        </w:rPr>
        <w:t xml:space="preserve"> Общее количество репетиций, мероприятий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>личное участие в мероприятии (подтверждение)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посредническая роль в мероприятии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 Особые творческие достижения 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>за роль, исполнение концертной и цирковой программы (номера), режиссуру, хореографию, сценографию, костюмированное, музыкальное, световое, звуковое и художественное оформление спектакля, за постановку концертных и цирковых номеров. Данный показатель оценки определяется на основании внутренних локальных актов учреждений, разработанных, согласованных и утвержденных при непосредственном участии творческих комиссий (художественных советов) учреждений. Под особыми творческими достижениями могут подразумеваться, такие личные профессиональные достижения, как: номинация на профессиональную премию; фактическое выполнение работы, отличающейся своей сложностью (главная роль; сложная партия, номер, отрывок; художественное решение и т.д.), творческое новаторство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 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Выполнение и перевыполнение плановых показателей по количеству посещений, показов </w:t>
      </w:r>
      <w:proofErr w:type="spellStart"/>
      <w:r w:rsidRPr="000F61A7">
        <w:rPr>
          <w:b/>
          <w:i/>
          <w:sz w:val="21"/>
          <w:szCs w:val="21"/>
        </w:rPr>
        <w:t>кивидеофильмов</w:t>
      </w:r>
      <w:proofErr w:type="spellEnd"/>
      <w:r w:rsidRPr="000F61A7">
        <w:rPr>
          <w:b/>
          <w:i/>
          <w:sz w:val="21"/>
          <w:szCs w:val="21"/>
        </w:rPr>
        <w:t xml:space="preserve"> 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  Освоение и внедрение инновационных методов работы, направленных на развитие </w:t>
      </w:r>
      <w:proofErr w:type="spellStart"/>
      <w:r w:rsidRPr="000F61A7">
        <w:rPr>
          <w:b/>
          <w:i/>
          <w:sz w:val="21"/>
          <w:szCs w:val="21"/>
        </w:rPr>
        <w:t>киновидеоцентра</w:t>
      </w:r>
      <w:proofErr w:type="spellEnd"/>
      <w:r w:rsidRPr="000F61A7">
        <w:rPr>
          <w:b/>
          <w:i/>
          <w:sz w:val="21"/>
          <w:szCs w:val="21"/>
        </w:rPr>
        <w:t xml:space="preserve"> 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Освоение и внедрение новых методик и технологий позволяет выходить на более высокий уровень, как предоставления услуг, так и организации рабочего процесса.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Высокий уровень подготовки, творческая активность в организации и проведении культурно-просветительских, обучающих мероприятий, научной, научно-методической и издательской работе </w:t>
      </w:r>
      <w:r w:rsidRPr="000F61A7">
        <w:rPr>
          <w:b/>
          <w:i/>
          <w:sz w:val="21"/>
          <w:szCs w:val="21"/>
        </w:rPr>
        <w:tab/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 xml:space="preserve">Высокий уровень подготовки и проведение мероприятий </w:t>
      </w:r>
      <w:r w:rsidRPr="000F61A7">
        <w:rPr>
          <w:b/>
          <w:i/>
          <w:sz w:val="21"/>
          <w:szCs w:val="21"/>
        </w:rPr>
        <w:tab/>
        <w:t>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Данный показатель оценки определяется экспертным методом с учетом полученных отзывов при непосредственном участии клиентов.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>Участие в создании новых постоянных, временных и передвижных экспозиций и выставок</w:t>
      </w:r>
      <w:r w:rsidRPr="000F61A7">
        <w:rPr>
          <w:sz w:val="21"/>
          <w:szCs w:val="21"/>
        </w:rPr>
        <w:t xml:space="preserve"> </w:t>
      </w:r>
      <w:r w:rsidRPr="000F61A7">
        <w:rPr>
          <w:sz w:val="21"/>
          <w:szCs w:val="21"/>
        </w:rPr>
        <w:tab/>
        <w:t xml:space="preserve"> </w:t>
      </w:r>
      <w:r w:rsidRPr="000F61A7">
        <w:rPr>
          <w:b/>
          <w:i/>
          <w:sz w:val="21"/>
          <w:szCs w:val="21"/>
        </w:rPr>
        <w:t>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Данный показатель позволяет оценить активность работника в реализации проектов организации с позиции его результативности и профессиональной подготовленности.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  <w:r w:rsidRPr="000F61A7">
        <w:rPr>
          <w:b/>
          <w:i/>
          <w:sz w:val="21"/>
          <w:szCs w:val="21"/>
        </w:rPr>
        <w:t xml:space="preserve">Творческая активность в научно-методической и (или) научно-исследовательской работе 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Творческая активность работника, является профессионально-деловым качеством работника, характеризующим не только его личную результативность, но и его потенциал, и уровень мотивации.</w:t>
      </w:r>
    </w:p>
    <w:p w:rsidR="007007B6" w:rsidRPr="000F61A7" w:rsidRDefault="007007B6">
      <w:pPr>
        <w:rPr>
          <w:b/>
          <w:i/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>Частота участия в конкурсах. 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Данные показатели характеризуют потенциал работника, его творческую активность, уровень подготовки и позволяют при оценке работника количественно измерить его результативность.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b/>
          <w:i/>
          <w:sz w:val="21"/>
          <w:szCs w:val="21"/>
        </w:rPr>
        <w:t>Выполнение и перевыполнение плановых показателей (</w:t>
      </w:r>
      <w:r w:rsidRPr="000F61A7">
        <w:rPr>
          <w:i/>
          <w:sz w:val="21"/>
          <w:szCs w:val="21"/>
        </w:rPr>
        <w:t>подтверждающие документы)</w:t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Выполнение работ в соответствии с календарным графиком их проведения и надлежащим качеством.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  <w:r w:rsidRPr="000F61A7">
        <w:rPr>
          <w:b/>
          <w:i/>
          <w:sz w:val="21"/>
          <w:szCs w:val="21"/>
        </w:rPr>
        <w:t xml:space="preserve">Своевременная подготовка учреждения к осенне-зимнему сезону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  <w:r w:rsidRPr="000F61A7">
        <w:rPr>
          <w:b/>
          <w:i/>
          <w:sz w:val="21"/>
          <w:szCs w:val="21"/>
        </w:rPr>
        <w:t xml:space="preserve">Своевременное и качественное выполнение показателей содержания работы  по должности </w:t>
      </w:r>
      <w:r w:rsidRPr="000F61A7">
        <w:rPr>
          <w:b/>
          <w:i/>
          <w:sz w:val="21"/>
          <w:szCs w:val="21"/>
        </w:rPr>
        <w:tab/>
      </w: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 </w:t>
      </w:r>
      <w:r w:rsidRPr="000F61A7">
        <w:rPr>
          <w:b/>
          <w:i/>
          <w:sz w:val="21"/>
          <w:szCs w:val="21"/>
        </w:rPr>
        <w:t xml:space="preserve">Обеспечение бесперебойной работы, оборудования, техники, различной аппаратуры </w:t>
      </w:r>
      <w:r w:rsidRPr="000F61A7">
        <w:rPr>
          <w:sz w:val="21"/>
          <w:szCs w:val="21"/>
        </w:rPr>
        <w:t xml:space="preserve"> Условием выполнения данного показателя является отсутствие аварийных ситуаций, поломок, произошедших по </w:t>
      </w:r>
      <w:proofErr w:type="gramStart"/>
      <w:r w:rsidRPr="000F61A7">
        <w:rPr>
          <w:sz w:val="21"/>
          <w:szCs w:val="21"/>
        </w:rPr>
        <w:t>причинам</w:t>
      </w:r>
      <w:proofErr w:type="gramEnd"/>
      <w:r w:rsidRPr="000F61A7">
        <w:rPr>
          <w:sz w:val="21"/>
          <w:szCs w:val="21"/>
        </w:rPr>
        <w:t xml:space="preserve"> не носящим объективного характера, или их устранение в установленные сроки с надлежащим качеством. Также исполнение работником правил (норм, инструкций) использования, обслуживания (проведение профилактических мероприятий в соответствующие сроки), хранения, вверенных ему технических средств. </w:t>
      </w:r>
    </w:p>
    <w:p w:rsidR="007007B6" w:rsidRPr="000F61A7" w:rsidRDefault="007007B6">
      <w:pPr>
        <w:rPr>
          <w:sz w:val="21"/>
          <w:szCs w:val="21"/>
        </w:rPr>
      </w:pPr>
    </w:p>
    <w:p w:rsidR="007007B6" w:rsidRPr="000F61A7" w:rsidRDefault="000F61A7">
      <w:pPr>
        <w:rPr>
          <w:sz w:val="21"/>
          <w:szCs w:val="21"/>
        </w:rPr>
      </w:pPr>
      <w:r w:rsidRPr="000F61A7">
        <w:rPr>
          <w:sz w:val="21"/>
          <w:szCs w:val="21"/>
        </w:rPr>
        <w:t xml:space="preserve"> </w:t>
      </w:r>
      <w:r w:rsidRPr="000F61A7">
        <w:rPr>
          <w:b/>
          <w:i/>
          <w:sz w:val="21"/>
          <w:szCs w:val="21"/>
        </w:rPr>
        <w:t xml:space="preserve">Упреждение нарушений правил поведения при показе фильмов, на профессиональном уровне </w:t>
      </w:r>
      <w:r w:rsidRPr="000F61A7">
        <w:rPr>
          <w:b/>
          <w:i/>
          <w:sz w:val="21"/>
          <w:szCs w:val="21"/>
        </w:rPr>
        <w:tab/>
      </w:r>
    </w:p>
    <w:p w:rsidR="007007B6" w:rsidRPr="000F61A7" w:rsidRDefault="000F61A7">
      <w:pPr>
        <w:widowControl w:val="0"/>
        <w:ind w:firstLine="708"/>
        <w:jc w:val="both"/>
        <w:rPr>
          <w:sz w:val="21"/>
          <w:szCs w:val="21"/>
          <w:vertAlign w:val="subscript"/>
        </w:rPr>
      </w:pPr>
      <w:r w:rsidRPr="000F61A7">
        <w:rPr>
          <w:sz w:val="21"/>
          <w:szCs w:val="21"/>
        </w:rPr>
        <w:t xml:space="preserve">Наблюдение за тем, чтобы посетители не нарушали правила поведения…, является одной из основных должностных обязанностей работников. </w:t>
      </w:r>
    </w:p>
    <w:p w:rsidR="007007B6" w:rsidRPr="000F61A7" w:rsidRDefault="007007B6">
      <w:pPr>
        <w:rPr>
          <w:sz w:val="21"/>
          <w:szCs w:val="21"/>
        </w:rPr>
      </w:pPr>
    </w:p>
    <w:sectPr w:rsidR="007007B6" w:rsidRPr="000F61A7" w:rsidSect="000F61A7">
      <w:footerReference w:type="default" r:id="rId8"/>
      <w:pgSz w:w="11906" w:h="16838"/>
      <w:pgMar w:top="490" w:right="850" w:bottom="598" w:left="1276" w:header="0" w:footer="30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D16" w:rsidRDefault="00DC5D16">
      <w:r>
        <w:separator/>
      </w:r>
    </w:p>
  </w:endnote>
  <w:endnote w:type="continuationSeparator" w:id="0">
    <w:p w:rsidR="00DC5D16" w:rsidRDefault="00DC5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B6" w:rsidRDefault="007007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D16" w:rsidRDefault="00DC5D16">
      <w:r>
        <w:separator/>
      </w:r>
    </w:p>
  </w:footnote>
  <w:footnote w:type="continuationSeparator" w:id="0">
    <w:p w:rsidR="00DC5D16" w:rsidRDefault="00DC5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07B6"/>
    <w:rsid w:val="000F61A7"/>
    <w:rsid w:val="001D63CC"/>
    <w:rsid w:val="007007B6"/>
    <w:rsid w:val="007926F3"/>
    <w:rsid w:val="00DC5D16"/>
    <w:rsid w:val="00DE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Calibr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D7"/>
    <w:pPr>
      <w:suppressAutoHyphens/>
      <w:spacing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629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D15D7"/>
    <w:pPr>
      <w:suppressAutoHyphens/>
      <w:spacing w:line="240" w:lineRule="auto"/>
    </w:pPr>
    <w:rPr>
      <w:rFonts w:eastAsia="Times New Roman" w:cs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B4A0C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B62915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</w:style>
  <w:style w:type="paragraph" w:customStyle="1" w:styleId="ad">
    <w:name w:val="Заголовок таблицы"/>
    <w:basedOn w:val="ac"/>
    <w:qFormat/>
  </w:style>
  <w:style w:type="paragraph" w:styleId="ae">
    <w:name w:val="footer"/>
    <w:basedOn w:val="a"/>
  </w:style>
  <w:style w:type="table" w:styleId="af">
    <w:name w:val="Table Grid"/>
    <w:basedOn w:val="a1"/>
    <w:uiPriority w:val="59"/>
    <w:rsid w:val="00F036A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5B6E-0C44-4A2A-84B1-5C59AF071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4537</TotalTime>
  <Pages>4</Pages>
  <Words>991</Words>
  <Characters>5649</Characters>
  <Application>Microsoft Office Word</Application>
  <DocSecurity>0</DocSecurity>
  <Lines>47</Lines>
  <Paragraphs>13</Paragraphs>
  <ScaleCrop>false</ScaleCrop>
  <Company>diakov.net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киновидео центр</dc:creator>
  <cp:lastModifiedBy>Татьяна</cp:lastModifiedBy>
  <cp:revision>11</cp:revision>
  <cp:lastPrinted>2015-04-09T12:36:00Z</cp:lastPrinted>
  <dcterms:created xsi:type="dcterms:W3CDTF">2013-09-25T11:46:00Z</dcterms:created>
  <dcterms:modified xsi:type="dcterms:W3CDTF">2016-12-07T12:27:00Z</dcterms:modified>
  <dc:language>ru-RU</dc:language>
</cp:coreProperties>
</file>