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4F5689">
        <w:rPr>
          <w:rFonts w:ascii="Times New Roman" w:hAnsi="Times New Roman" w:cs="Times New Roman"/>
          <w:color w:val="000000" w:themeColor="text1"/>
          <w:sz w:val="28"/>
          <w:szCs w:val="28"/>
          <w:shd w:val="clear" w:color="auto" w:fill="FFFFFF"/>
        </w:rPr>
        <w:t>10</w:t>
      </w:r>
    </w:p>
    <w:p w:rsidR="00BE7D62" w:rsidRPr="004B07A5" w:rsidRDefault="000A22CE"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08</w:t>
      </w:r>
      <w:r w:rsidR="007A0392">
        <w:rPr>
          <w:rFonts w:ascii="Times New Roman" w:hAnsi="Times New Roman" w:cs="Times New Roman"/>
          <w:sz w:val="24"/>
          <w:szCs w:val="24"/>
        </w:rPr>
        <w:t xml:space="preserve"> </w:t>
      </w:r>
      <w:r>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A62DE5">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A62DE5">
              <w:rPr>
                <w:rFonts w:ascii="Times New Roman" w:hAnsi="Times New Roman" w:cs="Times New Roman"/>
                <w:sz w:val="24"/>
                <w:szCs w:val="24"/>
              </w:rPr>
              <w:t>опора 32/4</w:t>
            </w:r>
            <w:r w:rsidR="0033731C">
              <w:rPr>
                <w:rFonts w:ascii="Times New Roman" w:hAnsi="Times New Roman" w:cs="Times New Roman"/>
                <w:sz w:val="24"/>
                <w:szCs w:val="24"/>
              </w:rPr>
              <w:t xml:space="preserve"> </w:t>
            </w:r>
            <w:proofErr w:type="spellStart"/>
            <w:r w:rsidR="00A42DE9">
              <w:rPr>
                <w:rFonts w:ascii="Times New Roman" w:hAnsi="Times New Roman" w:cs="Times New Roman"/>
                <w:sz w:val="24"/>
                <w:szCs w:val="24"/>
              </w:rPr>
              <w:t>я</w:t>
            </w:r>
            <w:r w:rsidRPr="00AB6258">
              <w:rPr>
                <w:rFonts w:ascii="Times New Roman" w:hAnsi="Times New Roman" w:cs="Times New Roman"/>
                <w:sz w:val="24"/>
                <w:szCs w:val="24"/>
              </w:rPr>
              <w:t>ч</w:t>
            </w:r>
            <w:proofErr w:type="spellEnd"/>
            <w:r w:rsidRPr="00AB6258">
              <w:rPr>
                <w:rFonts w:ascii="Times New Roman" w:hAnsi="Times New Roman" w:cs="Times New Roman"/>
                <w:sz w:val="24"/>
                <w:szCs w:val="24"/>
              </w:rPr>
              <w:t xml:space="preserve">. </w:t>
            </w:r>
            <w:r w:rsidR="00A62DE5">
              <w:rPr>
                <w:rFonts w:ascii="Times New Roman" w:hAnsi="Times New Roman" w:cs="Times New Roman"/>
                <w:sz w:val="24"/>
                <w:szCs w:val="24"/>
              </w:rPr>
              <w:t>6</w:t>
            </w:r>
            <w:r w:rsidRPr="00AB6258">
              <w:rPr>
                <w:rFonts w:ascii="Times New Roman" w:hAnsi="Times New Roman" w:cs="Times New Roman"/>
                <w:sz w:val="24"/>
                <w:szCs w:val="24"/>
              </w:rPr>
              <w:t xml:space="preserve">Д ПС </w:t>
            </w:r>
            <w:r w:rsidR="003957AA">
              <w:rPr>
                <w:rFonts w:ascii="Times New Roman" w:hAnsi="Times New Roman" w:cs="Times New Roman"/>
                <w:sz w:val="24"/>
                <w:szCs w:val="24"/>
              </w:rPr>
              <w:t>«Койгородок»</w:t>
            </w:r>
            <w:r w:rsidR="00A42DE9">
              <w:rPr>
                <w:rFonts w:ascii="Times New Roman" w:hAnsi="Times New Roman" w:cs="Times New Roman"/>
                <w:sz w:val="24"/>
                <w:szCs w:val="24"/>
              </w:rPr>
              <w:t xml:space="preserve"> </w:t>
            </w:r>
            <w:r w:rsidR="0033731C">
              <w:rPr>
                <w:rFonts w:ascii="Times New Roman" w:hAnsi="Times New Roman" w:cs="Times New Roman"/>
                <w:sz w:val="24"/>
                <w:szCs w:val="24"/>
              </w:rPr>
              <w:t>- КТП №</w:t>
            </w:r>
            <w:r w:rsidR="00A62DE5">
              <w:rPr>
                <w:rFonts w:ascii="Times New Roman" w:hAnsi="Times New Roman" w:cs="Times New Roman"/>
                <w:sz w:val="24"/>
                <w:szCs w:val="24"/>
              </w:rPr>
              <w:t>620</w:t>
            </w:r>
            <w:r w:rsidR="0033731C">
              <w:rPr>
                <w:rFonts w:ascii="Times New Roman" w:hAnsi="Times New Roman" w:cs="Times New Roman"/>
                <w:sz w:val="24"/>
                <w:szCs w:val="24"/>
              </w:rPr>
              <w:t xml:space="preserve"> «</w:t>
            </w:r>
            <w:r w:rsidR="00A62DE5">
              <w:rPr>
                <w:rFonts w:ascii="Times New Roman" w:hAnsi="Times New Roman" w:cs="Times New Roman"/>
                <w:sz w:val="24"/>
                <w:szCs w:val="24"/>
              </w:rPr>
              <w:t>Школа</w:t>
            </w:r>
            <w:r w:rsidR="0033731C">
              <w:rPr>
                <w:rFonts w:ascii="Times New Roman" w:hAnsi="Times New Roman" w:cs="Times New Roman"/>
                <w:sz w:val="24"/>
                <w:szCs w:val="24"/>
              </w:rPr>
              <w:t xml:space="preserve">» </w:t>
            </w:r>
            <w:proofErr w:type="spellStart"/>
            <w:r w:rsidR="00A62DE5">
              <w:rPr>
                <w:rFonts w:ascii="Times New Roman" w:hAnsi="Times New Roman" w:cs="Times New Roman"/>
                <w:sz w:val="24"/>
                <w:szCs w:val="24"/>
              </w:rPr>
              <w:t>п</w:t>
            </w:r>
            <w:proofErr w:type="gramStart"/>
            <w:r w:rsidR="00A42DE9">
              <w:rPr>
                <w:rFonts w:ascii="Times New Roman" w:hAnsi="Times New Roman" w:cs="Times New Roman"/>
                <w:sz w:val="24"/>
                <w:szCs w:val="24"/>
              </w:rPr>
              <w:t>.К</w:t>
            </w:r>
            <w:proofErr w:type="gramEnd"/>
            <w:r w:rsidR="00A42DE9">
              <w:rPr>
                <w:rFonts w:ascii="Times New Roman" w:hAnsi="Times New Roman" w:cs="Times New Roman"/>
                <w:sz w:val="24"/>
                <w:szCs w:val="24"/>
              </w:rPr>
              <w:t>ойд</w:t>
            </w:r>
            <w:r w:rsidR="00A62DE5">
              <w:rPr>
                <w:rFonts w:ascii="Times New Roman" w:hAnsi="Times New Roman" w:cs="Times New Roman"/>
                <w:sz w:val="24"/>
                <w:szCs w:val="24"/>
              </w:rPr>
              <w:t>ин</w:t>
            </w:r>
            <w:proofErr w:type="spellEnd"/>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A62DE5">
              <w:rPr>
                <w:rFonts w:ascii="Times New Roman" w:hAnsi="Times New Roman" w:cs="Times New Roman"/>
                <w:sz w:val="24"/>
                <w:szCs w:val="24"/>
              </w:rPr>
              <w:t xml:space="preserve"> п</w:t>
            </w:r>
            <w:r w:rsidR="008F7BEB">
              <w:rPr>
                <w:rFonts w:ascii="Times New Roman" w:hAnsi="Times New Roman" w:cs="Times New Roman"/>
                <w:sz w:val="24"/>
                <w:szCs w:val="24"/>
              </w:rPr>
              <w:t>ст</w:t>
            </w:r>
            <w:bookmarkStart w:id="0" w:name="_GoBack"/>
            <w:bookmarkEnd w:id="0"/>
            <w:r w:rsidR="00A62DE5">
              <w:rPr>
                <w:rFonts w:ascii="Times New Roman" w:hAnsi="Times New Roman" w:cs="Times New Roman"/>
                <w:sz w:val="24"/>
                <w:szCs w:val="24"/>
              </w:rPr>
              <w:t xml:space="preserve">. </w:t>
            </w:r>
            <w:proofErr w:type="spellStart"/>
            <w:r w:rsidR="00A62DE5">
              <w:rPr>
                <w:rFonts w:ascii="Times New Roman" w:hAnsi="Times New Roman" w:cs="Times New Roman"/>
                <w:sz w:val="24"/>
                <w:szCs w:val="24"/>
              </w:rPr>
              <w:t>Койдин</w:t>
            </w:r>
            <w:proofErr w:type="spellEnd"/>
            <w:r w:rsidR="00A62DE5">
              <w:rPr>
                <w:rFonts w:ascii="Times New Roman" w:hAnsi="Times New Roman" w:cs="Times New Roman"/>
                <w:sz w:val="24"/>
                <w:szCs w:val="24"/>
              </w:rPr>
              <w:t>,</w:t>
            </w:r>
            <w:r>
              <w:rPr>
                <w:rFonts w:ascii="Times New Roman" w:hAnsi="Times New Roman" w:cs="Times New Roman"/>
                <w:sz w:val="24"/>
                <w:szCs w:val="24"/>
              </w:rPr>
              <w:t xml:space="preserve"> </w:t>
            </w:r>
            <w:r w:rsidR="00C4214D">
              <w:rPr>
                <w:rFonts w:ascii="Times New Roman" w:hAnsi="Times New Roman" w:cs="Times New Roman"/>
                <w:sz w:val="24"/>
                <w:szCs w:val="24"/>
              </w:rPr>
              <w:t>кадастровый квартал 11:02</w:t>
            </w:r>
            <w:r>
              <w:rPr>
                <w:rFonts w:ascii="Times New Roman" w:hAnsi="Times New Roman" w:cs="Times New Roman"/>
                <w:sz w:val="24"/>
                <w:szCs w:val="24"/>
              </w:rPr>
              <w:t>:</w:t>
            </w:r>
            <w:r w:rsidR="00A62DE5">
              <w:rPr>
                <w:rFonts w:ascii="Times New Roman" w:hAnsi="Times New Roman" w:cs="Times New Roman"/>
                <w:sz w:val="24"/>
                <w:szCs w:val="24"/>
              </w:rPr>
              <w:t>0301001, 11:02:1701001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A62DE5">
            <w:pPr>
              <w:jc w:val="both"/>
              <w:rPr>
                <w:rFonts w:ascii="Times New Roman" w:hAnsi="Times New Roman" w:cs="Times New Roman"/>
                <w:sz w:val="24"/>
                <w:szCs w:val="24"/>
              </w:rPr>
            </w:pPr>
            <w:r>
              <w:rPr>
                <w:rFonts w:ascii="Times New Roman" w:hAnsi="Times New Roman" w:cs="Times New Roman"/>
                <w:sz w:val="24"/>
                <w:szCs w:val="24"/>
              </w:rPr>
              <w:t>3280</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3957A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277F1" w:rsidRPr="004B07A5" w:rsidRDefault="006277F1" w:rsidP="00127B3C">
            <w:pPr>
              <w:pStyle w:val="a5"/>
              <w:shd w:val="clear" w:color="auto" w:fill="FFFFFF"/>
              <w:ind w:left="0" w:firstLine="461"/>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proofErr w:type="spellStart"/>
            <w:r w:rsidR="0062478D">
              <w:rPr>
                <w:rFonts w:ascii="Times New Roman" w:eastAsia="Times New Roman" w:hAnsi="Times New Roman" w:cs="Times New Roman"/>
                <w:sz w:val="24"/>
                <w:szCs w:val="24"/>
                <w:lang w:eastAsia="ru-RU"/>
              </w:rPr>
              <w:t>Койд</w:t>
            </w:r>
            <w:r w:rsidR="00A62DE5">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8F5BD6">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sidR="0062478D">
              <w:rPr>
                <w:rFonts w:ascii="Times New Roman" w:eastAsia="Times New Roman" w:hAnsi="Times New Roman" w:cs="Times New Roman"/>
                <w:sz w:val="24"/>
                <w:szCs w:val="24"/>
                <w:lang w:eastAsia="ru-RU"/>
              </w:rPr>
              <w:t>Койд</w:t>
            </w:r>
            <w:r w:rsidR="008F5BD6">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w:t>
            </w:r>
            <w:r>
              <w:rPr>
                <w:rFonts w:ascii="Times New Roman" w:hAnsi="Times New Roman" w:cs="Times New Roman"/>
                <w:sz w:val="24"/>
                <w:szCs w:val="24"/>
              </w:rPr>
              <w:lastRenderedPageBreak/>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w:t>
            </w:r>
            <w:r>
              <w:rPr>
                <w:rFonts w:ascii="Times New Roman" w:eastAsia="Times New Roman" w:hAnsi="Times New Roman" w:cs="Times New Roman"/>
                <w:sz w:val="24"/>
                <w:szCs w:val="24"/>
                <w:lang w:eastAsia="ru-RU"/>
              </w:rPr>
              <w:lastRenderedPageBreak/>
              <w:t>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8F5BD6">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8F5BD6">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8F5BD6"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32" w:rsidRDefault="00417332" w:rsidP="00BE7D62">
      <w:pPr>
        <w:spacing w:after="0" w:line="240" w:lineRule="auto"/>
      </w:pPr>
      <w:r>
        <w:separator/>
      </w:r>
    </w:p>
  </w:endnote>
  <w:endnote w:type="continuationSeparator" w:id="0">
    <w:p w:rsidR="00417332" w:rsidRDefault="00417332"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32" w:rsidRDefault="00417332" w:rsidP="00BE7D62">
      <w:pPr>
        <w:spacing w:after="0" w:line="240" w:lineRule="auto"/>
      </w:pPr>
      <w:r>
        <w:separator/>
      </w:r>
    </w:p>
  </w:footnote>
  <w:footnote w:type="continuationSeparator" w:id="0">
    <w:p w:rsidR="00417332" w:rsidRDefault="00417332"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A22CE"/>
    <w:rsid w:val="000B24CD"/>
    <w:rsid w:val="000B6009"/>
    <w:rsid w:val="000B76CC"/>
    <w:rsid w:val="000C01C8"/>
    <w:rsid w:val="000C685B"/>
    <w:rsid w:val="00101741"/>
    <w:rsid w:val="00103382"/>
    <w:rsid w:val="00126B88"/>
    <w:rsid w:val="00127B3C"/>
    <w:rsid w:val="0019733F"/>
    <w:rsid w:val="00197C62"/>
    <w:rsid w:val="001E71FD"/>
    <w:rsid w:val="001F642C"/>
    <w:rsid w:val="00210F59"/>
    <w:rsid w:val="002220D7"/>
    <w:rsid w:val="002658B7"/>
    <w:rsid w:val="00272336"/>
    <w:rsid w:val="002928BE"/>
    <w:rsid w:val="002C4A0A"/>
    <w:rsid w:val="0030745D"/>
    <w:rsid w:val="00312A56"/>
    <w:rsid w:val="0033731C"/>
    <w:rsid w:val="003611AF"/>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17332"/>
    <w:rsid w:val="004276AF"/>
    <w:rsid w:val="00427DA1"/>
    <w:rsid w:val="0044539A"/>
    <w:rsid w:val="00457922"/>
    <w:rsid w:val="004733AC"/>
    <w:rsid w:val="004B07A5"/>
    <w:rsid w:val="004B51EE"/>
    <w:rsid w:val="004B5226"/>
    <w:rsid w:val="004C7155"/>
    <w:rsid w:val="004D2273"/>
    <w:rsid w:val="004F5689"/>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A0392"/>
    <w:rsid w:val="007B2081"/>
    <w:rsid w:val="007B6230"/>
    <w:rsid w:val="007D5396"/>
    <w:rsid w:val="007E23B7"/>
    <w:rsid w:val="007F5F05"/>
    <w:rsid w:val="0080057D"/>
    <w:rsid w:val="00840A2E"/>
    <w:rsid w:val="00840B14"/>
    <w:rsid w:val="00862975"/>
    <w:rsid w:val="00892B82"/>
    <w:rsid w:val="008A7603"/>
    <w:rsid w:val="008F5BD6"/>
    <w:rsid w:val="008F7BEB"/>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41349"/>
    <w:rsid w:val="00A42DE9"/>
    <w:rsid w:val="00A44F68"/>
    <w:rsid w:val="00A45813"/>
    <w:rsid w:val="00A61C1E"/>
    <w:rsid w:val="00A62DE5"/>
    <w:rsid w:val="00AA5348"/>
    <w:rsid w:val="00AB6258"/>
    <w:rsid w:val="00AE4913"/>
    <w:rsid w:val="00B540D5"/>
    <w:rsid w:val="00B675A4"/>
    <w:rsid w:val="00B72623"/>
    <w:rsid w:val="00B7752C"/>
    <w:rsid w:val="00B94471"/>
    <w:rsid w:val="00B94BA3"/>
    <w:rsid w:val="00BA6276"/>
    <w:rsid w:val="00BD2C22"/>
    <w:rsid w:val="00BD6D5A"/>
    <w:rsid w:val="00BE6467"/>
    <w:rsid w:val="00BE7D62"/>
    <w:rsid w:val="00BF53A8"/>
    <w:rsid w:val="00C3597F"/>
    <w:rsid w:val="00C4214D"/>
    <w:rsid w:val="00C62C3A"/>
    <w:rsid w:val="00C81846"/>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14875"/>
    <w:rsid w:val="00F23213"/>
    <w:rsid w:val="00F31845"/>
    <w:rsid w:val="00F51977"/>
    <w:rsid w:val="00F567F8"/>
    <w:rsid w:val="00F80262"/>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4</cp:revision>
  <cp:lastPrinted>2020-08-07T06:29:00Z</cp:lastPrinted>
  <dcterms:created xsi:type="dcterms:W3CDTF">2021-10-11T07:27:00Z</dcterms:created>
  <dcterms:modified xsi:type="dcterms:W3CDTF">2021-10-11T08:13:00Z</dcterms:modified>
</cp:coreProperties>
</file>