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C" w:rsidRDefault="00FE1D05" w:rsidP="00B1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95400" cy="1085850"/>
            <wp:effectExtent l="0" t="0" r="0" b="0"/>
            <wp:docPr id="1" name="Рисунок 1" descr="KOMI_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_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EC" w:rsidRPr="00865985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168181, Республика Коми, Койгородский район, пст. Кажым, ул. </w:t>
      </w:r>
      <w:r w:rsidR="0048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 </w:t>
      </w:r>
      <w:r w:rsidRPr="00FC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</w:t>
      </w:r>
      <w:r w:rsidR="00481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С Ё </w:t>
      </w:r>
      <w:proofErr w:type="gramStart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Р</w:t>
      </w:r>
      <w:proofErr w:type="gramEnd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Н И Г И Ж Ö Д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П</w:t>
      </w:r>
      <w:proofErr w:type="gramEnd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Р О Т О К О Л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согласованию </w:t>
      </w:r>
      <w:r w:rsidR="005D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внесений изменений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ПЗЗ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Коми.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</w:t>
      </w:r>
    </w:p>
    <w:p w:rsidR="006D436C" w:rsidRDefault="006D436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61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мая 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согласованию </w:t>
      </w:r>
      <w:r w:rsidR="005D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внесений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ПЗЗ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Pr="00FC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публичных слушаний: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</w:t>
      </w: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«Кажым», </w:t>
      </w:r>
      <w:r w:rsidR="0046123E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46123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FC49EC" w:rsidRDefault="00FC49EC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публичных слушаниях присутствуют: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Безносикова И.А.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Глава сельского поселения «Кажым»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Харитонова И.С.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Специалист администрации сельского поселения «Кажым»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Коханенко Г.Н.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Депутат Совета сельского поселения «Кажым»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Аршинкина Л.Ю.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Депутат Совета сельского поселения «Кажым»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пст. Кажым</w:t>
      </w:r>
      <w:r w:rsidR="00921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2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9EC" w:rsidRDefault="00FC49EC" w:rsidP="00FC4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публичных слушаниях доведена до сведения населения через информационные стенды пст. Кажым.</w:t>
      </w:r>
    </w:p>
    <w:p w:rsidR="005C49FB" w:rsidRPr="005C49FB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Избраны</w:t>
      </w:r>
      <w:proofErr w:type="gramEnd"/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 голосованием:</w:t>
      </w:r>
    </w:p>
    <w:p w:rsidR="005C49FB" w:rsidRPr="00FC49EC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- Безносикова И.А., секретарь собрания – Харитонова И.С.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вынесенные на публичные слушания:</w:t>
      </w:r>
    </w:p>
    <w:p w:rsidR="0046123E" w:rsidRDefault="00FC49EC" w:rsidP="00FC49EC">
      <w:pPr>
        <w:jc w:val="both"/>
        <w:rPr>
          <w:rFonts w:ascii="Times New Roman" w:hAnsi="Times New Roman" w:cs="Times New Roman"/>
          <w:sz w:val="24"/>
          <w:szCs w:val="24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812">
        <w:rPr>
          <w:rFonts w:ascii="Times New Roman" w:hAnsi="Times New Roman" w:cs="Times New Roman"/>
          <w:sz w:val="24"/>
          <w:szCs w:val="24"/>
        </w:rPr>
        <w:t>Согласование</w:t>
      </w:r>
      <w:r w:rsidR="005D0CDA">
        <w:rPr>
          <w:rFonts w:ascii="Times New Roman" w:hAnsi="Times New Roman" w:cs="Times New Roman"/>
          <w:sz w:val="24"/>
          <w:szCs w:val="24"/>
        </w:rPr>
        <w:t xml:space="preserve"> </w:t>
      </w:r>
      <w:r w:rsidR="0090574B">
        <w:rPr>
          <w:rFonts w:ascii="Times New Roman" w:hAnsi="Times New Roman" w:cs="Times New Roman"/>
          <w:sz w:val="24"/>
          <w:szCs w:val="24"/>
        </w:rPr>
        <w:t>в</w:t>
      </w:r>
      <w:r w:rsidR="005D0CDA">
        <w:rPr>
          <w:rFonts w:ascii="Times New Roman" w:hAnsi="Times New Roman" w:cs="Times New Roman"/>
          <w:sz w:val="24"/>
          <w:szCs w:val="24"/>
        </w:rPr>
        <w:t>несени</w:t>
      </w:r>
      <w:r w:rsidR="0090574B">
        <w:rPr>
          <w:rFonts w:ascii="Times New Roman" w:hAnsi="Times New Roman" w:cs="Times New Roman"/>
          <w:sz w:val="24"/>
          <w:szCs w:val="24"/>
        </w:rPr>
        <w:t>й</w:t>
      </w:r>
      <w:r w:rsidRPr="00344812">
        <w:rPr>
          <w:rFonts w:ascii="Times New Roman" w:hAnsi="Times New Roman" w:cs="Times New Roman"/>
          <w:sz w:val="24"/>
          <w:szCs w:val="24"/>
        </w:rPr>
        <w:t xml:space="preserve"> </w:t>
      </w:r>
      <w:r w:rsidR="005D0CDA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344812">
        <w:rPr>
          <w:rFonts w:ascii="Times New Roman" w:hAnsi="Times New Roman" w:cs="Times New Roman"/>
          <w:sz w:val="24"/>
          <w:szCs w:val="24"/>
        </w:rPr>
        <w:t xml:space="preserve"> </w:t>
      </w:r>
      <w:r w:rsidR="00DC627E">
        <w:rPr>
          <w:rFonts w:ascii="Times New Roman" w:hAnsi="Times New Roman" w:cs="Times New Roman"/>
          <w:sz w:val="24"/>
          <w:szCs w:val="24"/>
        </w:rPr>
        <w:t>правил</w:t>
      </w:r>
      <w:r w:rsidR="005D0CDA">
        <w:rPr>
          <w:rFonts w:ascii="Times New Roman" w:hAnsi="Times New Roman" w:cs="Times New Roman"/>
          <w:sz w:val="24"/>
          <w:szCs w:val="24"/>
        </w:rPr>
        <w:t>а</w:t>
      </w:r>
      <w:r w:rsidR="00DC627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3448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«Кажым»</w:t>
      </w:r>
      <w:r w:rsidR="00DF25D7">
        <w:rPr>
          <w:rFonts w:ascii="Times New Roman" w:hAnsi="Times New Roman" w:cs="Times New Roman"/>
          <w:sz w:val="24"/>
          <w:szCs w:val="24"/>
        </w:rPr>
        <w:t xml:space="preserve"> </w:t>
      </w:r>
      <w:r w:rsidRPr="0034481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0574B">
        <w:rPr>
          <w:rFonts w:ascii="Times New Roman" w:hAnsi="Times New Roman" w:cs="Times New Roman"/>
          <w:sz w:val="24"/>
          <w:szCs w:val="24"/>
        </w:rPr>
        <w:t xml:space="preserve"> «Койгородский» Республики Коми</w:t>
      </w:r>
    </w:p>
    <w:p w:rsidR="005D0CDA" w:rsidRDefault="0090574B" w:rsidP="00FC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FC49EC">
        <w:rPr>
          <w:rFonts w:ascii="Times New Roman" w:hAnsi="Times New Roman" w:cs="Times New Roman"/>
          <w:sz w:val="24"/>
          <w:szCs w:val="24"/>
        </w:rPr>
        <w:t xml:space="preserve">ыступила: </w:t>
      </w:r>
      <w:r w:rsidR="00FC49EC" w:rsidRPr="001929B9">
        <w:rPr>
          <w:rFonts w:ascii="Times New Roman" w:hAnsi="Times New Roman" w:cs="Times New Roman"/>
          <w:b/>
          <w:sz w:val="24"/>
          <w:szCs w:val="24"/>
        </w:rPr>
        <w:t>Безносикова И.А.</w:t>
      </w:r>
      <w:r w:rsidR="00FC49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D0CD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D0CDA">
        <w:rPr>
          <w:rFonts w:ascii="Times New Roman" w:hAnsi="Times New Roman" w:cs="Times New Roman"/>
          <w:sz w:val="24"/>
          <w:szCs w:val="24"/>
        </w:rPr>
        <w:t xml:space="preserve"> рассказала  о том, что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п.Кажым </w:t>
      </w:r>
      <w:r w:rsidR="005D0CDA">
        <w:rPr>
          <w:rFonts w:ascii="Times New Roman" w:hAnsi="Times New Roman" w:cs="Times New Roman"/>
          <w:sz w:val="24"/>
          <w:szCs w:val="24"/>
        </w:rPr>
        <w:t xml:space="preserve">не содержат </w:t>
      </w:r>
      <w:r w:rsidR="00E45708">
        <w:rPr>
          <w:rFonts w:ascii="Times New Roman" w:hAnsi="Times New Roman" w:cs="Times New Roman"/>
          <w:sz w:val="24"/>
          <w:szCs w:val="24"/>
        </w:rPr>
        <w:t>полную</w:t>
      </w:r>
      <w:r w:rsidR="005D0CDA">
        <w:rPr>
          <w:rFonts w:ascii="Times New Roman" w:hAnsi="Times New Roman" w:cs="Times New Roman"/>
          <w:sz w:val="24"/>
          <w:szCs w:val="24"/>
        </w:rPr>
        <w:t xml:space="preserve"> информацию, а именно:</w:t>
      </w:r>
    </w:p>
    <w:p w:rsidR="0046123E" w:rsidRDefault="0046123E" w:rsidP="0046123E">
      <w:pPr>
        <w:suppressAutoHyphens/>
        <w:spacing w:after="120" w:line="240" w:lineRule="auto"/>
        <w:ind w:firstLine="426"/>
        <w:jc w:val="both"/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часть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«Градостроительные регламенты» Правил землепользования и застройки муниципального образования сельского поселения «Кажым» территориальной зоной:</w:t>
      </w:r>
      <w:r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 xml:space="preserve"> </w:t>
      </w:r>
    </w:p>
    <w:p w:rsidR="0046123E" w:rsidRDefault="0046123E" w:rsidP="0046123E">
      <w:pPr>
        <w:suppressAutoHyphens/>
        <w:spacing w:after="120" w:line="240" w:lineRule="auto"/>
        <w:ind w:firstLine="426"/>
        <w:jc w:val="center"/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 xml:space="preserve">Зона прочих территорий в границах населенного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>Пр-1)</w:t>
      </w:r>
    </w:p>
    <w:p w:rsidR="0046123E" w:rsidRDefault="0046123E" w:rsidP="0046123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Зона предназначена для поддержания баланса открытых и застроенных пространств в использовании территорий в границах населенного пункта.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Правила.</w:t>
      </w:r>
    </w:p>
    <w:p w:rsidR="0046123E" w:rsidRDefault="0046123E" w:rsidP="0046123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46123E" w:rsidRDefault="0046123E" w:rsidP="0046123E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46123E" w:rsidRDefault="0046123E" w:rsidP="0046123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lang w:eastAsia="ru-RU"/>
        </w:rPr>
      </w:pPr>
      <w:r>
        <w:rPr>
          <w:rFonts w:ascii="Arial" w:eastAsia="Times New Roman" w:hAnsi="Arial" w:cs="Times New Roman"/>
          <w:b/>
          <w:lang w:eastAsia="ru-RU"/>
        </w:rPr>
        <w:lastRenderedPageBreak/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Пр-1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050"/>
        <w:gridCol w:w="6836"/>
      </w:tblGrid>
      <w:tr w:rsidR="0046123E" w:rsidTr="0046123E">
        <w:trPr>
          <w:trHeight w:val="20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>
              <w:rPr>
                <w:rFonts w:ascii="Arial" w:eastAsia="Times New Roman" w:hAnsi="Arial" w:cs="Calibri"/>
                <w:b/>
              </w:rPr>
              <w:t>№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>
              <w:rPr>
                <w:rFonts w:ascii="Arial" w:eastAsia="Times New Roman" w:hAnsi="Arial" w:cs="Calibri"/>
                <w:b/>
              </w:rPr>
              <w:t>Вид разрешенного использования*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>
              <w:rPr>
                <w:rFonts w:ascii="Arial" w:eastAsia="Times New Roman" w:hAnsi="Arial" w:cs="Calibri"/>
                <w:b/>
              </w:rPr>
              <w:t>Описание вида  разрешенного использования территориальной зоны Пр-1</w:t>
            </w:r>
          </w:p>
        </w:tc>
      </w:tr>
      <w:tr w:rsidR="0046123E" w:rsidTr="0046123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</w:rPr>
            </w:pPr>
            <w:r>
              <w:rPr>
                <w:rFonts w:ascii="Arial" w:eastAsia="Times New Roman" w:hAnsi="Arial" w:cs="Calibri"/>
                <w:b/>
              </w:rPr>
              <w:t>Основные виды разрешённого использования зоны Пр-1</w:t>
            </w:r>
          </w:p>
        </w:tc>
      </w:tr>
      <w:tr w:rsidR="0046123E" w:rsidTr="0046123E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Охрана природных территорий</w:t>
            </w:r>
          </w:p>
          <w:p w:rsidR="0046123E" w:rsidRDefault="004612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(код 9.1)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E" w:rsidRDefault="004612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gramStart"/>
            <w:r>
              <w:rPr>
                <w:rFonts w:ascii="Arial" w:eastAsia="Times New Roman" w:hAnsi="Arial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46123E" w:rsidRDefault="004612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6123E" w:rsidTr="0046123E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Обеспечение внутреннего правопорядка</w:t>
            </w:r>
          </w:p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 xml:space="preserve"> (код 8.3)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6123E" w:rsidTr="0046123E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Склады (код 6.9)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Times New Roman"/>
              </w:rPr>
            </w:pPr>
            <w:proofErr w:type="gramStart"/>
            <w:r>
              <w:rPr>
                <w:rFonts w:ascii="Arial" w:eastAsia="Times New Roman" w:hAnsi="Arial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46123E" w:rsidTr="0046123E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Calibri"/>
                <w:b/>
              </w:rPr>
              <w:t>Условно разрешенные виды использования зоны Пр-1</w:t>
            </w:r>
          </w:p>
        </w:tc>
      </w:tr>
      <w:tr w:rsidR="0046123E" w:rsidTr="0046123E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не предусмотрено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E" w:rsidRDefault="004612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6123E" w:rsidTr="0046123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</w:rPr>
            </w:pPr>
            <w:r>
              <w:rPr>
                <w:rFonts w:ascii="Arial" w:eastAsia="Times New Roman" w:hAnsi="Arial" w:cs="Calibri"/>
                <w:b/>
              </w:rPr>
              <w:t>Вспомогательные виды разрешенного использования зоны  Пр-1</w:t>
            </w:r>
          </w:p>
        </w:tc>
      </w:tr>
      <w:tr w:rsidR="0046123E" w:rsidTr="0046123E">
        <w:trPr>
          <w:trHeight w:val="132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Земельные участки (территории) общего пользования</w:t>
            </w:r>
          </w:p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 xml:space="preserve"> (код 12.0)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3E" w:rsidRDefault="0046123E">
            <w:pPr>
              <w:spacing w:after="0" w:line="240" w:lineRule="auto"/>
              <w:rPr>
                <w:rFonts w:ascii="Arial" w:eastAsia="Times New Roman" w:hAnsi="Arial" w:cs="Calibri"/>
              </w:rPr>
            </w:pPr>
            <w:r>
              <w:rPr>
                <w:rFonts w:ascii="Arial" w:eastAsia="Times New Roman" w:hAnsi="Arial" w:cs="Calibri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6123E" w:rsidRDefault="0046123E" w:rsidP="0046123E">
      <w:pPr>
        <w:shd w:val="clear" w:color="auto" w:fill="FFFFFF"/>
        <w:spacing w:before="120" w:after="120"/>
        <w:ind w:firstLine="357"/>
        <w:jc w:val="both"/>
        <w:rPr>
          <w:rFonts w:ascii="Arial" w:eastAsia="Times New Roman" w:hAnsi="Arial" w:cs="Calibri"/>
          <w:lang w:eastAsia="ru-RU"/>
        </w:rPr>
      </w:pPr>
      <w:r>
        <w:rPr>
          <w:rFonts w:ascii="Arial" w:eastAsia="Times New Roman" w:hAnsi="Arial" w:cs="Arial"/>
          <w:bCs/>
          <w:spacing w:val="-3"/>
          <w:lang w:eastAsia="ru-RU"/>
        </w:rPr>
        <w:t>*</w:t>
      </w:r>
      <w:r>
        <w:rPr>
          <w:rFonts w:ascii="Arial" w:eastAsia="Times New Roman" w:hAnsi="Arial" w:cs="Calibri"/>
          <w:lang w:eastAsia="ru-RU"/>
        </w:rPr>
        <w:t xml:space="preserve"> согласно классификатору видов разрешенного использования</w:t>
      </w:r>
    </w:p>
    <w:p w:rsidR="0046123E" w:rsidRDefault="0046123E" w:rsidP="0046123E">
      <w:pPr>
        <w:shd w:val="clear" w:color="auto" w:fill="FFFFFF"/>
        <w:spacing w:before="120" w:after="120"/>
        <w:ind w:firstLine="357"/>
        <w:jc w:val="both"/>
        <w:rPr>
          <w:rFonts w:ascii="Arial" w:eastAsia="Times New Roman" w:hAnsi="Arial" w:cs="Arial"/>
          <w:b/>
          <w:bCs/>
          <w:spacing w:val="-2"/>
          <w:lang w:eastAsia="ru-RU"/>
        </w:rPr>
      </w:pPr>
      <w:r>
        <w:rPr>
          <w:rFonts w:ascii="Arial" w:eastAsia="Times New Roman" w:hAnsi="Arial" w:cs="Arial"/>
          <w:b/>
          <w:bCs/>
          <w:spacing w:val="-5"/>
          <w:lang w:eastAsia="ru-RU"/>
        </w:rPr>
        <w:t>Предельные</w:t>
      </w:r>
      <w:r>
        <w:rPr>
          <w:rFonts w:ascii="Arial" w:eastAsia="Times New Roman" w:hAnsi="Arial" w:cs="Arial"/>
          <w:b/>
          <w:bCs/>
          <w:spacing w:val="-3"/>
          <w:lang w:eastAsia="ru-RU"/>
        </w:rPr>
        <w:t xml:space="preserve"> размеры земельных участков и предельные параметры разрешен</w:t>
      </w:r>
      <w:r>
        <w:rPr>
          <w:rFonts w:ascii="Arial" w:eastAsia="Times New Roman" w:hAnsi="Arial" w:cs="Arial"/>
          <w:b/>
          <w:bCs/>
          <w:spacing w:val="-3"/>
          <w:lang w:eastAsia="ru-RU"/>
        </w:rPr>
        <w:softHyphen/>
      </w:r>
      <w:r>
        <w:rPr>
          <w:rFonts w:ascii="Arial" w:eastAsia="Times New Roman" w:hAnsi="Arial" w:cs="Arial"/>
          <w:b/>
          <w:bCs/>
          <w:spacing w:val="-2"/>
          <w:lang w:eastAsia="ru-RU"/>
        </w:rPr>
        <w:t>ного строительства, реконструкции объектов капитального строительства  Пр-1:</w:t>
      </w:r>
    </w:p>
    <w:p w:rsidR="0046123E" w:rsidRDefault="0046123E" w:rsidP="0046123E">
      <w:pPr>
        <w:shd w:val="clear" w:color="auto" w:fill="FFFFFF"/>
        <w:spacing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46123E" w:rsidRDefault="0046123E" w:rsidP="0046123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6123E" w:rsidRDefault="0046123E" w:rsidP="0046123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СП 42.13330.2011 «СНиП 2.07.01-89* Градостроительство. Планировка и застройка городских и сельских поселений»;</w:t>
      </w:r>
    </w:p>
    <w:p w:rsidR="0046123E" w:rsidRDefault="0046123E" w:rsidP="0046123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Другие действующие нормативные документы и технические регламенты.</w:t>
      </w:r>
    </w:p>
    <w:p w:rsidR="0046123E" w:rsidRDefault="0046123E" w:rsidP="0046123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Предельные размеры земельных участков, в том числе их площадь</w:t>
      </w:r>
    </w:p>
    <w:p w:rsidR="0046123E" w:rsidRDefault="0046123E" w:rsidP="0046123E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минимальная ширина земельного участка 20 метров;</w:t>
      </w:r>
    </w:p>
    <w:p w:rsidR="0046123E" w:rsidRDefault="0046123E" w:rsidP="0046123E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минимальная площадь земельного участка 500 кв.м;</w:t>
      </w:r>
    </w:p>
    <w:p w:rsidR="0046123E" w:rsidRDefault="0046123E" w:rsidP="0046123E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максимальная площадь земельного участка -10 га.</w:t>
      </w:r>
    </w:p>
    <w:p w:rsidR="0046123E" w:rsidRDefault="0046123E" w:rsidP="0046123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Минимальные отступы от границ земельных участков  в целях определения места допустимого размещения зданий и сооружений – 1 м., за исключением:</w:t>
      </w:r>
    </w:p>
    <w:p w:rsidR="0046123E" w:rsidRDefault="0046123E" w:rsidP="0046123E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от красной линии проездов 3 м.</w:t>
      </w:r>
    </w:p>
    <w:p w:rsidR="0046123E" w:rsidRDefault="0046123E" w:rsidP="0046123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 xml:space="preserve">Максимальный процент застройки в границах земельного участка 10%. </w:t>
      </w:r>
    </w:p>
    <w:p w:rsidR="0046123E" w:rsidRDefault="0046123E" w:rsidP="0046123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>
        <w:rPr>
          <w:rFonts w:ascii="Arial" w:eastAsia="Times New Roman" w:hAnsi="Arial" w:cs="Arial"/>
          <w:spacing w:val="-4"/>
          <w:lang w:eastAsia="ru-RU"/>
        </w:rPr>
        <w:t>Предельное количество этажей -1 этаж.</w:t>
      </w:r>
    </w:p>
    <w:p w:rsidR="0046123E" w:rsidRDefault="0046123E" w:rsidP="0046123E">
      <w:pPr>
        <w:rPr>
          <w:rFonts w:ascii="Calibri" w:eastAsia="Times New Roman" w:hAnsi="Calibri" w:cs="Calibri"/>
          <w:lang w:eastAsia="ru-RU"/>
        </w:rPr>
      </w:pPr>
    </w:p>
    <w:p w:rsidR="002B5310" w:rsidRDefault="00EA4FC1" w:rsidP="0046123E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2B531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Безносикова Ирина Альбертовна предложила х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одатайствовать перед 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Советом сельского поселения «Кажым»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внесени</w:t>
      </w:r>
      <w:r w:rsidR="002B531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изменений в правила землепользования и застройки муниципального образования сельского поселения «Кажым» муниципального района «Койгородский»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Коми</w:t>
      </w:r>
      <w:r w:rsid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C49FB" w:rsidRPr="005C49FB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Голосовали: за –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чел.</w:t>
      </w:r>
    </w:p>
    <w:p w:rsidR="005C49FB" w:rsidRPr="005C49FB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против – нет</w:t>
      </w:r>
    </w:p>
    <w:p w:rsidR="005C49FB" w:rsidRPr="00E91B94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воздержались - нет</w:t>
      </w:r>
    </w:p>
    <w:p w:rsidR="005D0CDA" w:rsidRPr="00344812" w:rsidRDefault="005D0CDA" w:rsidP="00FC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EC" w:rsidRDefault="00FC49EC" w:rsidP="00FC4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3F1DCA" w:rsidRPr="003F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согласованию </w:t>
      </w:r>
      <w:r w:rsidR="00E4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внесений изменений в</w:t>
      </w:r>
      <w:r w:rsidR="00DF25D7" w:rsidRPr="00D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</w:t>
      </w:r>
      <w:r w:rsidR="00E4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F25D7" w:rsidRPr="00D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DCA" w:rsidRPr="003F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 «Кажым» муниципального района</w:t>
      </w:r>
      <w:r w:rsidR="003F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«Койгородский» Республики Коми</w:t>
      </w: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17" w:rsidRDefault="00FC49EC" w:rsidP="0006111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45708" w:rsidRDefault="00FC49EC" w:rsidP="00E457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123E" w:rsidRDefault="00E45708" w:rsidP="0046123E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Ходатайствовать перед 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Советом сельского поселения «Кажым»</w:t>
      </w:r>
      <w:r w:rsidR="0046123E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внесени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46123E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изменений в правила землепользования и застройки муниципального образования сельского поселения «Кажым» муниципального района «Койгородский»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6123E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Коми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5708" w:rsidRDefault="00E45708" w:rsidP="00461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B0" w:rsidRDefault="009212B0" w:rsidP="0092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Безносикова И.А.</w:t>
      </w:r>
    </w:p>
    <w:p w:rsidR="009212B0" w:rsidRDefault="009212B0" w:rsidP="0092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Харитонова И.С.</w:t>
      </w:r>
    </w:p>
    <w:p w:rsidR="009212B0" w:rsidRDefault="009212B0" w:rsidP="005C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п.Кажым:                                                       </w:t>
      </w:r>
    </w:p>
    <w:p w:rsidR="00FC49EC" w:rsidRDefault="00FC49EC" w:rsidP="00B1221D">
      <w:pPr>
        <w:rPr>
          <w:rFonts w:ascii="Times New Roman" w:hAnsi="Times New Roman" w:cs="Times New Roman"/>
          <w:sz w:val="24"/>
          <w:szCs w:val="24"/>
        </w:rPr>
      </w:pPr>
    </w:p>
    <w:p w:rsidR="00FC49EC" w:rsidRDefault="00FC49EC" w:rsidP="00B1221D">
      <w:pPr>
        <w:rPr>
          <w:rFonts w:ascii="Times New Roman" w:hAnsi="Times New Roman" w:cs="Times New Roman"/>
          <w:sz w:val="24"/>
          <w:szCs w:val="24"/>
        </w:rPr>
      </w:pPr>
    </w:p>
    <w:p w:rsidR="00FC49EC" w:rsidRDefault="00FC49EC" w:rsidP="00B1221D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B1221D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B1221D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B1221D">
      <w:pPr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48"/>
          <w:szCs w:val="48"/>
        </w:rPr>
        <w:t>Итоговый документ</w:t>
      </w:r>
    </w:p>
    <w:p w:rsidR="006D436C" w:rsidRDefault="006D436C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публичных слушаний по </w:t>
      </w:r>
      <w:r w:rsidRPr="006D436C">
        <w:rPr>
          <w:rFonts w:ascii="Times New Roman" w:eastAsia="Arial Unicode MS" w:hAnsi="Times New Roman" w:cs="Times New Roman"/>
          <w:b/>
          <w:sz w:val="28"/>
          <w:szCs w:val="28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</w:t>
      </w:r>
      <w:r w:rsidR="0046123E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45708" w:rsidRPr="00E45708" w:rsidRDefault="0046123E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13 мая 2019</w:t>
      </w:r>
      <w:r w:rsidR="006D436C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8"/>
          <w:szCs w:val="28"/>
        </w:rPr>
        <w:t>п. Кажым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8"/>
          <w:szCs w:val="28"/>
        </w:rPr>
        <w:t>201</w:t>
      </w:r>
      <w:r w:rsidR="00E75E5E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E45708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t>РЕШЕНИЕ</w:t>
      </w:r>
    </w:p>
    <w:p w:rsidR="00FB59E2" w:rsidRDefault="00FB59E2" w:rsidP="006D436C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6D436C">
        <w:rPr>
          <w:rFonts w:ascii="Times New Roman" w:hAnsi="Times New Roman" w:cs="Times New Roman"/>
          <w:b/>
        </w:rPr>
        <w:t>КОМИССИИ ПО ПРОВЕДЕНИЮ ПУБЛИЧНЫХ СЛУШАНИЙ</w:t>
      </w: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ПО </w:t>
      </w:r>
      <w:r w:rsidRPr="006D436C">
        <w:rPr>
          <w:rFonts w:ascii="Times New Roman" w:eastAsia="Arial Unicode MS" w:hAnsi="Times New Roman" w:cs="Times New Roman"/>
          <w:b/>
          <w:sz w:val="24"/>
          <w:szCs w:val="24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КОМИ.</w:t>
      </w:r>
      <w:r w:rsidRPr="00E45708">
        <w:rPr>
          <w:rFonts w:ascii="Times New Roman" w:eastAsia="Arial Unicode MS" w:hAnsi="Times New Roman" w:cs="Times New Roman"/>
        </w:rPr>
        <w:t>       </w:t>
      </w:r>
    </w:p>
    <w:p w:rsidR="00E45708" w:rsidRPr="00E45708" w:rsidRDefault="00E45708" w:rsidP="006D436C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t>    п. Кажым</w:t>
      </w:r>
      <w:r w:rsidRPr="00E45708">
        <w:rPr>
          <w:rFonts w:ascii="Times New Roman" w:eastAsia="Arial Unicode MS" w:hAnsi="Times New Roman" w:cs="Times New Roman"/>
          <w:sz w:val="24"/>
          <w:szCs w:val="24"/>
        </w:rPr>
        <w:t xml:space="preserve">                                                                                                </w:t>
      </w:r>
      <w:r w:rsidR="00E75E5E">
        <w:rPr>
          <w:rFonts w:ascii="Times New Roman" w:eastAsia="Arial Unicode MS" w:hAnsi="Times New Roman" w:cs="Times New Roman"/>
          <w:sz w:val="24"/>
          <w:szCs w:val="24"/>
        </w:rPr>
        <w:t>13 мая 2019</w:t>
      </w:r>
      <w:r w:rsidRPr="00E45708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FB59E2" w:rsidRDefault="00E45708" w:rsidP="00E45708">
      <w:pPr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708">
        <w:rPr>
          <w:rFonts w:ascii="Times New Roman" w:eastAsia="Arial Unicode MS" w:hAnsi="Times New Roman" w:cs="Times New Roman"/>
        </w:rPr>
        <w:t>     </w:t>
      </w:r>
      <w:r w:rsidRPr="00E45708">
        <w:rPr>
          <w:rFonts w:ascii="Times New Roman" w:eastAsia="Arial Unicode MS" w:hAnsi="Times New Roman" w:cs="Times New Roman"/>
        </w:rPr>
        <w:br/>
        <w:t>    </w:t>
      </w:r>
      <w:r w:rsidRPr="00E45708">
        <w:rPr>
          <w:rFonts w:ascii="Times New Roman" w:eastAsia="Arial Unicode MS" w:hAnsi="Times New Roman" w:cs="Times New Roman"/>
        </w:rPr>
        <w:tab/>
        <w:t> </w:t>
      </w:r>
      <w:r w:rsidRPr="00EA4FC1">
        <w:rPr>
          <w:rFonts w:ascii="Times New Roman" w:eastAsia="Arial Unicode MS" w:hAnsi="Times New Roman" w:cs="Times New Roman"/>
          <w:sz w:val="28"/>
          <w:szCs w:val="28"/>
        </w:rPr>
        <w:t>Рассмотрев   </w:t>
      </w:r>
      <w:r w:rsidR="006D436C" w:rsidRPr="00EA4FC1">
        <w:rPr>
          <w:rFonts w:ascii="Times New Roman" w:eastAsia="Arial Unicode MS" w:hAnsi="Times New Roman" w:cs="Times New Roman"/>
          <w:sz w:val="28"/>
          <w:szCs w:val="28"/>
        </w:rPr>
        <w:t>изменения</w:t>
      </w:r>
      <w:r w:rsidR="00EA4FC1">
        <w:rPr>
          <w:rFonts w:ascii="Times New Roman" w:eastAsia="Arial Unicode MS" w:hAnsi="Times New Roman" w:cs="Times New Roman"/>
          <w:sz w:val="28"/>
          <w:szCs w:val="28"/>
        </w:rPr>
        <w:t xml:space="preserve"> и дополнения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 xml:space="preserve">  в ПЗЗ муниципального образования сельского поселения «Кажым»</w:t>
      </w:r>
      <w:r w:rsidR="00FB59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>муниципального района «Койгородский» Республики Коми</w:t>
      </w:r>
      <w:proofErr w:type="gramStart"/>
      <w:r w:rsidR="00FB59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75E5E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Комиссия по проведению публичных слушаний решила: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ab/>
        <w:t>1. Утвердить итоговый документ публичных слушаний (приложение).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ab/>
        <w:t xml:space="preserve">2.Обнародовать  итоговый документ публичных слушаний на информационном стенде. 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Председатель Комиссии                                                             И.А. Безносикова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Секретарь                                                                                    И. Харитонова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br/>
      </w:r>
      <w:r w:rsidRPr="00E45708">
        <w:rPr>
          <w:rFonts w:ascii="Times New Roman" w:eastAsia="Arial Unicode MS" w:hAnsi="Times New Roman" w:cs="Times New Roman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br/>
      </w:r>
      <w:r w:rsidRPr="00E45708">
        <w:rPr>
          <w:rFonts w:ascii="Times New Roman" w:eastAsia="Arial Unicode MS" w:hAnsi="Times New Roman" w:cs="Times New Roman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6D436C" w:rsidRDefault="006D436C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к решению комиссии</w:t>
      </w:r>
      <w:r w:rsidRPr="00E45708">
        <w:rPr>
          <w:rFonts w:ascii="Times New Roman" w:eastAsia="Arial Unicode MS" w:hAnsi="Times New Roman" w:cs="Times New Roman"/>
          <w:sz w:val="24"/>
          <w:szCs w:val="24"/>
        </w:rPr>
        <w:br/>
        <w:t>по проведению публичных слушаний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t>ИТОГОВЫЙ ДОКУМЕНТ ПУБЛИЧНЫХ СЛУШАНИЙ</w:t>
      </w: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="006D436C">
        <w:rPr>
          <w:rFonts w:ascii="Times New Roman" w:eastAsia="Arial Unicode MS" w:hAnsi="Times New Roman" w:cs="Times New Roman"/>
          <w:b/>
          <w:sz w:val="24"/>
          <w:szCs w:val="24"/>
        </w:rPr>
        <w:t xml:space="preserve">ПО </w:t>
      </w:r>
      <w:r w:rsidR="006D436C" w:rsidRPr="006D436C">
        <w:rPr>
          <w:rFonts w:ascii="Times New Roman" w:eastAsia="Arial Unicode MS" w:hAnsi="Times New Roman" w:cs="Times New Roman"/>
          <w:b/>
          <w:sz w:val="24"/>
          <w:szCs w:val="24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</w:t>
      </w:r>
      <w:r w:rsidR="00702F1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02F12" w:rsidRPr="00702F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6D436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4"/>
          <w:szCs w:val="24"/>
        </w:rPr>
        <w:tab/>
      </w:r>
      <w:r w:rsidRPr="00E45708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Глава сельского поселения «Кажым» И.А. Безносикова  довела до сведения присутствующих  </w:t>
      </w:r>
      <w:r w:rsidR="006D436C">
        <w:rPr>
          <w:rFonts w:ascii="Times New Roman" w:eastAsia="Arial Unicode MS" w:hAnsi="Times New Roman" w:cs="Times New Roman"/>
          <w:b/>
          <w:bCs/>
          <w:sz w:val="26"/>
          <w:szCs w:val="26"/>
        </w:rPr>
        <w:t>изменения</w:t>
      </w:r>
      <w:r w:rsidR="006D436C" w:rsidRPr="006D436C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 в ПЗЗ муниципального образования сельского поселения «Кажым» муниципального района «Койгородский» Республики Коми</w:t>
      </w:r>
      <w:r w:rsidR="00FB59E2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РЕШЕНИЕ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ab/>
        <w:t xml:space="preserve">Рассмотрев и обсудив 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>изменени</w:t>
      </w:r>
      <w:r w:rsidR="006D436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 xml:space="preserve">  в ПЗЗ муниципального образования сельского поселения «Кажым» муниципального района «Койгородский» Республики Коми</w:t>
      </w:r>
      <w:r w:rsidR="00FB59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59E2" w:rsidRPr="006D43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436C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 сельского поселения «Кажым»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РЕШИЛИ</w:t>
      </w:r>
      <w:r w:rsidRPr="00E45708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</w:rPr>
        <w:t xml:space="preserve">1.Согласится  на проведение дальнейшей работы по </w:t>
      </w:r>
      <w:r w:rsidR="006D436C" w:rsidRPr="006D436C">
        <w:rPr>
          <w:rFonts w:ascii="Times New Roman" w:eastAsia="Arial Unicode MS" w:hAnsi="Times New Roman" w:cs="Times New Roman"/>
          <w:sz w:val="28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</w:t>
      </w:r>
      <w:proofErr w:type="gramStart"/>
      <w:r w:rsidR="00702F12">
        <w:rPr>
          <w:rFonts w:ascii="Times New Roman" w:eastAsia="Arial Unicode MS" w:hAnsi="Times New Roman" w:cs="Times New Roman"/>
          <w:sz w:val="28"/>
        </w:rPr>
        <w:t xml:space="preserve"> </w:t>
      </w:r>
      <w:r w:rsidR="00FB59E2" w:rsidRPr="006D43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59E2">
        <w:rPr>
          <w:rFonts w:ascii="Times New Roman" w:eastAsia="Arial Unicode MS" w:hAnsi="Times New Roman" w:cs="Times New Roman"/>
          <w:sz w:val="28"/>
        </w:rPr>
        <w:t xml:space="preserve"> </w:t>
      </w:r>
      <w:r w:rsidR="006D436C" w:rsidRPr="006D436C">
        <w:rPr>
          <w:rFonts w:ascii="Times New Roman" w:eastAsia="Arial Unicode MS" w:hAnsi="Times New Roman" w:cs="Times New Roman"/>
          <w:sz w:val="28"/>
        </w:rPr>
        <w:t>.</w:t>
      </w:r>
      <w:proofErr w:type="gramEnd"/>
    </w:p>
    <w:p w:rsidR="00EC50D4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  <w:sz w:val="28"/>
        </w:rPr>
      </w:pPr>
      <w:r w:rsidRPr="00E45708">
        <w:rPr>
          <w:rFonts w:ascii="Times New Roman" w:eastAsia="Arial Unicode MS" w:hAnsi="Times New Roman" w:cs="Times New Roman"/>
          <w:sz w:val="28"/>
        </w:rPr>
        <w:t>2.</w:t>
      </w:r>
      <w:r w:rsidR="00EC50D4" w:rsidRPr="00EC50D4">
        <w:t xml:space="preserve"> </w:t>
      </w:r>
      <w:r w:rsidR="00EC50D4" w:rsidRPr="00EC50D4">
        <w:rPr>
          <w:rFonts w:ascii="Times New Roman" w:eastAsia="Arial Unicode MS" w:hAnsi="Times New Roman" w:cs="Times New Roman"/>
          <w:sz w:val="28"/>
        </w:rPr>
        <w:t xml:space="preserve">Ходатайствовать перед </w:t>
      </w:r>
      <w:r w:rsidR="00E75E5E">
        <w:rPr>
          <w:rFonts w:ascii="Times New Roman" w:eastAsia="Arial Unicode MS" w:hAnsi="Times New Roman" w:cs="Times New Roman"/>
          <w:sz w:val="28"/>
        </w:rPr>
        <w:t xml:space="preserve">сельского поселения «Кажым» </w:t>
      </w:r>
      <w:r w:rsidR="00EC50D4" w:rsidRPr="00EC50D4">
        <w:rPr>
          <w:rFonts w:ascii="Times New Roman" w:eastAsia="Arial Unicode MS" w:hAnsi="Times New Roman" w:cs="Times New Roman"/>
          <w:sz w:val="28"/>
        </w:rPr>
        <w:t xml:space="preserve">о внесении изменений в правила землепользования и застройки муниципального образования сельского поселения «Кажым» муниципального района </w:t>
      </w:r>
      <w:r w:rsidR="00E75E5E">
        <w:rPr>
          <w:rFonts w:ascii="Times New Roman" w:eastAsia="Arial Unicode MS" w:hAnsi="Times New Roman" w:cs="Times New Roman"/>
          <w:sz w:val="28"/>
        </w:rPr>
        <w:t>«Койгородский» Республики Коми</w:t>
      </w:r>
      <w:proofErr w:type="gramStart"/>
      <w:r w:rsidR="00E75E5E">
        <w:rPr>
          <w:rFonts w:ascii="Times New Roman" w:eastAsia="Arial Unicode MS" w:hAnsi="Times New Roman" w:cs="Times New Roman"/>
          <w:sz w:val="28"/>
        </w:rPr>
        <w:t xml:space="preserve"> </w:t>
      </w:r>
      <w:r w:rsidR="00EC50D4" w:rsidRPr="00EC50D4">
        <w:rPr>
          <w:rFonts w:ascii="Times New Roman" w:eastAsia="Arial Unicode MS" w:hAnsi="Times New Roman" w:cs="Times New Roman"/>
          <w:sz w:val="28"/>
        </w:rPr>
        <w:t>.</w:t>
      </w:r>
      <w:proofErr w:type="gramEnd"/>
      <w:r w:rsidR="00EC50D4" w:rsidRPr="00EC50D4">
        <w:rPr>
          <w:rFonts w:ascii="Times New Roman" w:eastAsia="Arial Unicode MS" w:hAnsi="Times New Roman" w:cs="Times New Roman"/>
          <w:sz w:val="28"/>
        </w:rPr>
        <w:t xml:space="preserve"> 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3.Обнародовать  итоговый документ публичных слушаний на информационных стендах.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</w:p>
    <w:p w:rsidR="00E45708" w:rsidRDefault="00E45708" w:rsidP="00360D76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sectPr w:rsidR="00E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893490"/>
    <w:multiLevelType w:val="hybridMultilevel"/>
    <w:tmpl w:val="52B4393A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571856"/>
    <w:multiLevelType w:val="hybridMultilevel"/>
    <w:tmpl w:val="A34E60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8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1567B8"/>
    <w:multiLevelType w:val="hybridMultilevel"/>
    <w:tmpl w:val="834EC1D2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7"/>
    <w:lvlOverride w:ilv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14BD6"/>
    <w:rsid w:val="00045D94"/>
    <w:rsid w:val="00061117"/>
    <w:rsid w:val="000D60EB"/>
    <w:rsid w:val="001929B9"/>
    <w:rsid w:val="0027683D"/>
    <w:rsid w:val="002B5310"/>
    <w:rsid w:val="00344812"/>
    <w:rsid w:val="00360D76"/>
    <w:rsid w:val="00382E1F"/>
    <w:rsid w:val="00383577"/>
    <w:rsid w:val="003A4EC1"/>
    <w:rsid w:val="003F1DCA"/>
    <w:rsid w:val="00403453"/>
    <w:rsid w:val="00424418"/>
    <w:rsid w:val="0046123E"/>
    <w:rsid w:val="004819D1"/>
    <w:rsid w:val="00511BD5"/>
    <w:rsid w:val="0057736E"/>
    <w:rsid w:val="005A2733"/>
    <w:rsid w:val="005C49FB"/>
    <w:rsid w:val="005D0CDA"/>
    <w:rsid w:val="006130E4"/>
    <w:rsid w:val="00643533"/>
    <w:rsid w:val="00663376"/>
    <w:rsid w:val="006D436C"/>
    <w:rsid w:val="006E37BF"/>
    <w:rsid w:val="006F4F57"/>
    <w:rsid w:val="00702F12"/>
    <w:rsid w:val="007569DB"/>
    <w:rsid w:val="007F16B0"/>
    <w:rsid w:val="008500D4"/>
    <w:rsid w:val="00865985"/>
    <w:rsid w:val="00870255"/>
    <w:rsid w:val="008A44FA"/>
    <w:rsid w:val="008D2BA1"/>
    <w:rsid w:val="008E4F06"/>
    <w:rsid w:val="0090574B"/>
    <w:rsid w:val="009212B0"/>
    <w:rsid w:val="009B376F"/>
    <w:rsid w:val="009C17DB"/>
    <w:rsid w:val="009F0E3E"/>
    <w:rsid w:val="00A31BF7"/>
    <w:rsid w:val="00A425B1"/>
    <w:rsid w:val="00A60F18"/>
    <w:rsid w:val="00B04CDB"/>
    <w:rsid w:val="00B1221D"/>
    <w:rsid w:val="00BA092C"/>
    <w:rsid w:val="00C11C39"/>
    <w:rsid w:val="00C612B0"/>
    <w:rsid w:val="00CD6422"/>
    <w:rsid w:val="00CE2285"/>
    <w:rsid w:val="00D47EED"/>
    <w:rsid w:val="00D74380"/>
    <w:rsid w:val="00DC627E"/>
    <w:rsid w:val="00DD71B1"/>
    <w:rsid w:val="00DF25D7"/>
    <w:rsid w:val="00E45708"/>
    <w:rsid w:val="00E72956"/>
    <w:rsid w:val="00E75E5E"/>
    <w:rsid w:val="00E91B94"/>
    <w:rsid w:val="00EA4FC1"/>
    <w:rsid w:val="00EC50D4"/>
    <w:rsid w:val="00EF4BDE"/>
    <w:rsid w:val="00F12FA0"/>
    <w:rsid w:val="00F5441E"/>
    <w:rsid w:val="00FB59E2"/>
    <w:rsid w:val="00FC49EC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7619-7183-435D-91F0-B28AA693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2019-06-07T11:30:00Z</cp:lastPrinted>
  <dcterms:created xsi:type="dcterms:W3CDTF">2019-06-07T11:29:00Z</dcterms:created>
  <dcterms:modified xsi:type="dcterms:W3CDTF">2019-06-07T11:38:00Z</dcterms:modified>
</cp:coreProperties>
</file>