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02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Подключение объектов капитального строительства (далее – ОКС) к сетям газораспределения осуществляется в рамках Правил подключения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 (далее – Правила подключения).</w:t>
      </w:r>
    </w:p>
    <w:p w14:paraId="03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 всех домовладений, готовых подключиться к газоснабжению, газопровод будет доведен до границы земельного участка домовладения. </w:t>
      </w:r>
    </w:p>
    <w:p w14:paraId="04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Далее, если домовладение </w:t>
      </w:r>
      <w:bookmarkStart w:id="1" w:name="_Hlk150080153"/>
      <w:r>
        <w:rPr>
          <w:rFonts w:ascii="Times New Roman" w:hAnsi="Times New Roman"/>
          <w:color w:val="000000"/>
          <w:sz w:val="28"/>
        </w:rPr>
        <w:t>подпадает под критерии догазификации</w:t>
      </w:r>
      <w:bookmarkEnd w:id="1"/>
      <w:r>
        <w:rPr>
          <w:rFonts w:ascii="Times New Roman" w:hAnsi="Times New Roman"/>
          <w:color w:val="000000"/>
          <w:sz w:val="28"/>
        </w:rPr>
        <w:t xml:space="preserve"> (земельный участок и жилой дом </w:t>
      </w:r>
      <w:r>
        <w:rPr>
          <w:rFonts w:ascii="Times New Roman" w:hAnsi="Times New Roman"/>
          <w:color w:val="000000"/>
          <w:sz w:val="28"/>
        </w:rPr>
        <w:t xml:space="preserve">оформлены </w:t>
      </w:r>
      <w:r>
        <w:rPr>
          <w:rFonts w:ascii="Times New Roman" w:hAnsi="Times New Roman"/>
          <w:color w:val="000000"/>
          <w:sz w:val="28"/>
        </w:rPr>
        <w:t xml:space="preserve">в собственность), </w:t>
      </w:r>
      <w:bookmarkStart w:id="2" w:name="_Hlk150080191"/>
      <w:r>
        <w:rPr>
          <w:rFonts w:ascii="Times New Roman" w:hAnsi="Times New Roman"/>
          <w:color w:val="000000"/>
          <w:sz w:val="28"/>
        </w:rPr>
        <w:t xml:space="preserve">стоимость мероприятий по подключению </w:t>
      </w:r>
      <w:r>
        <w:rPr>
          <w:rFonts w:ascii="Times New Roman" w:hAnsi="Times New Roman"/>
          <w:color w:val="000000"/>
          <w:sz w:val="28"/>
          <w:u w:val="single"/>
        </w:rPr>
        <w:t>до границ земельного участка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для заявителя </w:t>
      </w:r>
      <w:r>
        <w:rPr>
          <w:rFonts w:ascii="Times New Roman" w:hAnsi="Times New Roman"/>
          <w:color w:val="000000"/>
          <w:sz w:val="28"/>
        </w:rPr>
        <w:t>составит 0 руб</w:t>
      </w:r>
      <w:bookmarkEnd w:id="2"/>
      <w:r>
        <w:rPr>
          <w:rFonts w:ascii="Times New Roman" w:hAnsi="Times New Roman"/>
          <w:color w:val="000000"/>
          <w:sz w:val="28"/>
        </w:rPr>
        <w:t>.</w:t>
      </w:r>
    </w:p>
    <w:p w14:paraId="05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Если домовладение </w:t>
      </w:r>
      <w:r>
        <w:rPr>
          <w:rFonts w:ascii="Times New Roman" w:hAnsi="Times New Roman"/>
          <w:color w:val="000000"/>
          <w:sz w:val="28"/>
        </w:rPr>
        <w:t xml:space="preserve">не подпадает под критерии догазификации (например, отсутствует право собственности на дом), то стоимость мероприятий по подключению </w:t>
      </w:r>
      <w:r>
        <w:rPr>
          <w:rFonts w:ascii="Times New Roman" w:hAnsi="Times New Roman"/>
          <w:color w:val="000000"/>
          <w:sz w:val="28"/>
          <w:u w:val="single"/>
        </w:rPr>
        <w:t>до границ земельного участка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для заявителя </w:t>
      </w:r>
      <w:r>
        <w:rPr>
          <w:rFonts w:ascii="Times New Roman" w:hAnsi="Times New Roman"/>
          <w:color w:val="000000"/>
          <w:sz w:val="28"/>
        </w:rPr>
        <w:t>составит</w:t>
      </w:r>
      <w:r>
        <w:rPr>
          <w:rFonts w:ascii="Times New Roman" w:hAnsi="Times New Roman"/>
          <w:b w:val="1"/>
          <w:color w:val="000000"/>
          <w:sz w:val="28"/>
        </w:rPr>
        <w:t xml:space="preserve"> в ценах 2023 года </w:t>
      </w:r>
      <w:r>
        <w:rPr>
          <w:rFonts w:ascii="Times New Roman" w:hAnsi="Times New Roman"/>
          <w:b w:val="1"/>
          <w:color w:val="000000"/>
          <w:sz w:val="28"/>
        </w:rPr>
        <w:t>17,268 тыс.</w:t>
      </w:r>
      <w:r>
        <w:rPr>
          <w:rFonts w:ascii="Times New Roman" w:hAnsi="Times New Roman"/>
          <w:b w:val="1"/>
          <w:color w:val="000000"/>
          <w:sz w:val="28"/>
        </w:rPr>
        <w:t xml:space="preserve"> руб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с НДС.</w:t>
      </w:r>
    </w:p>
    <w:p w14:paraId="06000000">
      <w:pPr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Стоимость мероприятий по подключению </w:t>
      </w:r>
      <w:r>
        <w:rPr>
          <w:rFonts w:ascii="Times New Roman" w:hAnsi="Times New Roman"/>
          <w:color w:val="000000"/>
          <w:sz w:val="28"/>
          <w:u w:val="single"/>
        </w:rPr>
        <w:t>в границах земельного участка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зависит от </w:t>
      </w:r>
      <w:r>
        <w:rPr>
          <w:rFonts w:ascii="Times New Roman" w:hAnsi="Times New Roman"/>
          <w:color w:val="000000"/>
          <w:sz w:val="28"/>
        </w:rPr>
        <w:t xml:space="preserve">индивидуальных характеристик </w:t>
      </w:r>
      <w:r>
        <w:rPr>
          <w:rFonts w:ascii="Times New Roman" w:hAnsi="Times New Roman"/>
          <w:color w:val="000000"/>
          <w:sz w:val="28"/>
        </w:rPr>
        <w:t>технических параметров сети газопотребления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границах земельного участка заявителя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протяженности и диаметра газопровода, способа прокладки газопровода и т.д.</w:t>
      </w:r>
      <w:r>
        <w:rPr>
          <w:rFonts w:ascii="Times New Roman" w:hAnsi="Times New Roman"/>
          <w:color w:val="000000"/>
          <w:sz w:val="28"/>
        </w:rPr>
        <w:t xml:space="preserve"> в границах земельного участка</w:t>
      </w:r>
      <w:r>
        <w:rPr>
          <w:rFonts w:ascii="Times New Roman" w:hAnsi="Times New Roman"/>
          <w:color w:val="000000"/>
          <w:sz w:val="28"/>
        </w:rPr>
        <w:t>).</w:t>
      </w:r>
      <w:r>
        <w:rPr>
          <w:rFonts w:ascii="Times New Roman" w:hAnsi="Times New Roman"/>
          <w:color w:val="000000"/>
          <w:sz w:val="28"/>
        </w:rPr>
        <w:t xml:space="preserve"> В среднем по Республике Коми данная стоимость составляет 90,2 тыс. руб. с НДС </w:t>
      </w:r>
      <w:r>
        <w:rPr>
          <w:rFonts w:ascii="Times New Roman" w:hAnsi="Times New Roman"/>
          <w:b w:val="1"/>
          <w:color w:val="000000"/>
          <w:sz w:val="28"/>
        </w:rPr>
        <w:t xml:space="preserve">без учета стоимости газоиспользующего оборудования (плита, котел).   </w:t>
      </w:r>
    </w:p>
    <w:p w14:paraId="07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Технические требования </w:t>
      </w:r>
      <w:r>
        <w:rPr>
          <w:rFonts w:ascii="Times New Roman" w:hAnsi="Times New Roman"/>
          <w:color w:val="000000"/>
          <w:sz w:val="28"/>
        </w:rPr>
        <w:t xml:space="preserve">к жилым помещениям, в которых устанавливается газоиспользующее оборудование, </w:t>
      </w:r>
      <w:r>
        <w:rPr>
          <w:rFonts w:ascii="Times New Roman" w:hAnsi="Times New Roman"/>
          <w:color w:val="000000"/>
          <w:sz w:val="28"/>
        </w:rPr>
        <w:t xml:space="preserve">указаны в </w:t>
      </w:r>
      <w:r>
        <w:rPr>
          <w:rFonts w:ascii="Times New Roman" w:hAnsi="Times New Roman"/>
          <w:color w:val="000000"/>
          <w:sz w:val="28"/>
        </w:rPr>
        <w:t>СП 62.13330.2011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Газораспределительные системы. Актуализированная редакция СНиП 42-01-2002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 41-108-2004</w:t>
      </w:r>
      <w:r>
        <w:rPr>
          <w:rFonts w:ascii="Times New Roman" w:hAnsi="Times New Roman"/>
          <w:color w:val="000000"/>
          <w:sz w:val="28"/>
        </w:rPr>
        <w:t xml:space="preserve"> СП «Поквартирное теплоснабжение жилых зданий с теплогенераторами на газовом топливе»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 402.1325800.2018 «</w:t>
      </w:r>
      <w:r>
        <w:rPr>
          <w:rFonts w:ascii="Times New Roman" w:hAnsi="Times New Roman"/>
          <w:color w:val="000000"/>
          <w:sz w:val="28"/>
        </w:rPr>
        <w:t>Здания жилые. Правила проектирования систем газопотребления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и других нормативных документах.</w:t>
      </w:r>
    </w:p>
    <w:p w14:paraId="08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требования </w:t>
      </w:r>
      <w:r>
        <w:rPr>
          <w:rFonts w:ascii="Times New Roman" w:hAnsi="Times New Roman"/>
          <w:color w:val="000000"/>
          <w:sz w:val="28"/>
        </w:rPr>
        <w:t>для одноквартирных и блокированных жилых домов</w:t>
      </w:r>
      <w:r>
        <w:rPr>
          <w:rFonts w:ascii="Times New Roman" w:hAnsi="Times New Roman"/>
          <w:color w:val="000000"/>
          <w:sz w:val="28"/>
        </w:rPr>
        <w:t>:</w:t>
      </w:r>
    </w:p>
    <w:p w14:paraId="09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bookmarkStart w:id="3" w:name="P0"/>
      <w:bookmarkEnd w:id="3"/>
      <w:r>
        <w:rPr>
          <w:rFonts w:ascii="Times New Roman" w:hAnsi="Times New Roman"/>
          <w:color w:val="000000"/>
          <w:sz w:val="28"/>
        </w:rPr>
        <w:t>Установку бытовых газовых плит, отдельно стоящих или встроенных в кухонную мебель (далее - газовые плиты), в жилых домах следует предусматривать в помещениях кухонь, кухонь</w:t>
      </w:r>
      <w:r>
        <w:rPr>
          <w:rFonts w:ascii="Times New Roman" w:hAnsi="Times New Roman"/>
          <w:color w:val="000000"/>
          <w:sz w:val="28"/>
        </w:rPr>
        <w:t>-столовых, высотой не менее 2,2 </w:t>
      </w:r>
      <w:r>
        <w:rPr>
          <w:rFonts w:ascii="Times New Roman" w:hAnsi="Times New Roman"/>
          <w:color w:val="000000"/>
          <w:sz w:val="28"/>
        </w:rPr>
        <w:t>м, имеющих вытяжной вентиляционный канал, окно с форточкой и другим устройством, предусмотренным в окне или стене для проветривания. Для притока воздуха в кухню в нижней части двери следует предусмотреть зазор между полом и дверью для притока воздуха. Площадь зазора принимают по расчету, но не менее 0,02 м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.</w:t>
      </w:r>
    </w:p>
    <w:p w14:paraId="0A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внутренний объем помещений кухонь должен быть, не менее</w:t>
      </w:r>
      <w:r>
        <w:rPr>
          <w:rFonts w:ascii="Times New Roman" w:hAnsi="Times New Roman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>:</w:t>
      </w:r>
    </w:p>
    <w:p w14:paraId="0B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8 - для газовой плиты с двумя горелками;</w:t>
      </w:r>
    </w:p>
    <w:p w14:paraId="0C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12 - для газовой плиты с тремя горелками;</w:t>
      </w:r>
    </w:p>
    <w:p w14:paraId="0D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15 - для газовой плиты с четырьмя горелками.</w:t>
      </w:r>
    </w:p>
    <w:p w14:paraId="0E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Газовая плита до</w:t>
      </w:r>
      <w:r>
        <w:rPr>
          <w:rFonts w:ascii="Times New Roman" w:hAnsi="Times New Roman"/>
          <w:color w:val="000000"/>
          <w:sz w:val="28"/>
        </w:rPr>
        <w:t>лжна быть оборудована системой «</w:t>
      </w:r>
      <w:r>
        <w:rPr>
          <w:rFonts w:ascii="Times New Roman" w:hAnsi="Times New Roman"/>
          <w:color w:val="000000"/>
          <w:sz w:val="28"/>
        </w:rPr>
        <w:t>газ-контроль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прекращающей подачу газа на горелку при погасании пламени. При применении газовых шлангов из металлосодержащих материалов между газовым краном и шлангом следует установить диэлектрическую вставку, удовлетворяющую требованиям по прерыванию тока и прохождению полного потока газа. </w:t>
      </w:r>
    </w:p>
    <w:p w14:paraId="0F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Деревянные неоштукатуренные стены и стены из других горючих материалов в местах установки газовых плит необходимо изолировать негорючими материалами или экранами заводского изготовления из закаленного многослойного стекла по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"consultantplus://offline/ref=9B6DF4EFC7E578875E2518A2176626211E766C32BA948D9FDEF277EA7CE8F3116B63B9F5858746EABC7A3052N1z3J"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ГОСТ 30698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не поддерживающими горения и распространения пламени по изолированной поверхности. Изоляция стен предусматривается от пола и должна выступать за габариты плиты на 10 см с каждой стороны и не менее 80 см сверху. Расстояние между газовой плитой и противоположной стеной принимают не менее 1 м.</w:t>
      </w:r>
    </w:p>
    <w:p w14:paraId="10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Расстояние от газовой плиты, в том числе встроенной варочной поверхности, до изолированных негорючими материалами стен помещения следует принимать в соответствии с требованиями Правил противопожарного режима и инструкциями предприятия-изготовителя бытового газоиспользующего оборудования.</w:t>
      </w:r>
    </w:p>
    <w:p w14:paraId="11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требований в инструкциях установку бытовых газовых плит следует предусматривать у стен из негорючих материалов на расстоянии не менее 60 мм от стены (в том числе от боковой стены), а у стен из горючих материалов (Г1 - Г4), изолированных негорючими материалами, - на расстоянии не менее 70 мм от стен.</w:t>
      </w:r>
    </w:p>
    <w:p w14:paraId="12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отопления помещений следует предусматривать отопительные газовые котлы с закрытой или открытой камерой сгорания, в том числе одноконтурные и двухконтурные. Бытовое газоиспользующее оборудование должно быть заводского изготовления и оснащено автоматикой регулирования и безопасности.</w:t>
      </w:r>
    </w:p>
    <w:p w14:paraId="13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установке в кухне газовой плиты и проточного водонагревателя или отопительного котла с закрытой камерой сгорания объем кухни следует принимать 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4" w:name="_Hlk150084528"/>
      <w:r>
        <w:rPr>
          <w:rFonts w:ascii="Times New Roman" w:hAnsi="Times New Roman"/>
          <w:color w:val="000000"/>
          <w:sz w:val="28"/>
        </w:rPr>
        <w:t>п.1</w:t>
      </w:r>
      <w:bookmarkEnd w:id="4"/>
      <w:r>
        <w:rPr>
          <w:rFonts w:ascii="Times New Roman" w:hAnsi="Times New Roman"/>
          <w:color w:val="000000"/>
          <w:sz w:val="28"/>
        </w:rPr>
        <w:t>.</w:t>
      </w:r>
    </w:p>
    <w:p w14:paraId="14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установке в кухне газовой плиты и проточного водонагревателя, газовой плиты и емкостного водонагревателя, газовой плиты и отопительного котла с открытой камерой сгорания (одноконтурного или двухконтурного) объем кухни должен быть на 6 м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 xml:space="preserve"> больше объема, предусмотренного в </w:t>
      </w:r>
      <w:r>
        <w:rPr>
          <w:rFonts w:ascii="Times New Roman" w:hAnsi="Times New Roman"/>
          <w:color w:val="000000"/>
          <w:sz w:val="28"/>
        </w:rPr>
        <w:t>п.1</w:t>
      </w:r>
      <w:r>
        <w:rPr>
          <w:rFonts w:ascii="Times New Roman" w:hAnsi="Times New Roman"/>
          <w:color w:val="000000"/>
          <w:sz w:val="28"/>
        </w:rPr>
        <w:t>.</w:t>
      </w:r>
    </w:p>
    <w:p w14:paraId="15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установке газового теплогенератора, предназначенного для отопления и горячего водоснабжения в отдельном помещении - теплогенераторной, площадь этого помещения (теплогенераторной) должна определяться из условий удобства монтажа и обслуживания оборудования. Для отопительного котла с открытой камерой сгорания объем помещения принимают не менее 15 м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 xml:space="preserve"> при высоте не менее 2,5 м.</w:t>
      </w:r>
    </w:p>
    <w:p w14:paraId="16000000">
      <w:pPr>
        <w:numPr>
          <w:ilvl w:val="0"/>
          <w:numId w:val="2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допускается предусматривать установку более двух отопительных котлов или двух емкостных водонагревателей в одном помещении.</w:t>
      </w:r>
    </w:p>
    <w:p w14:paraId="17000000">
      <w:pPr>
        <w:numPr>
          <w:ilvl w:val="0"/>
          <w:numId w:val="2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Вентиляция помещений, предназначенных для установки бытового газоиспользующего оборудования, должна быть естественной.</w:t>
      </w:r>
    </w:p>
    <w:p w14:paraId="18000000">
      <w:pPr>
        <w:numPr>
          <w:ilvl w:val="0"/>
          <w:numId w:val="2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качестве легкосбрасываемых ограждающих конструкций необходимо использовать остекление оконных проемов с </w:t>
      </w:r>
      <w:r>
        <w:rPr>
          <w:rFonts w:ascii="Times New Roman" w:hAnsi="Times New Roman"/>
          <w:color w:val="000000"/>
          <w:sz w:val="28"/>
        </w:rPr>
        <w:t>площадью стекла из расчета 0,03 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 xml:space="preserve"> на 1 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 xml:space="preserve"> объема помещения с установленным бытовым газоиспользующим оборудованием или использовать оконные конструкции со стеклопакетами по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"consultantplus://offline/ref=9B6DF4EFC7E578875E2518A2176626211E766D3FB3948D9FDEF277EA7CE8F3116B63B9F5858746EABC7A3052N1z3J"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ГОСТ Р 56288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 Армированное стекло, иные стеклопакеты, триплекс, сталинит и поликарбонат к легкосбрасываемым конструкциям не относятся.</w:t>
      </w:r>
    </w:p>
    <w:p w14:paraId="19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Легкосбрасываемые оконные конструкции должны быть безопасными при эксплуатации и обслуживании.</w:t>
      </w:r>
    </w:p>
    <w:p w14:paraId="1A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</w:t>
      </w:r>
      <w:r>
        <w:rPr>
          <w:rFonts w:ascii="Times New Roman" w:hAnsi="Times New Roman"/>
          <w:color w:val="000000"/>
          <w:sz w:val="28"/>
        </w:rPr>
        <w:t>Дверь из помещения, где установлено бытовое газоиспользующее оборудование, должна открываться наружу.</w:t>
      </w:r>
    </w:p>
    <w:p w14:paraId="1B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</w:t>
      </w:r>
      <w:r>
        <w:rPr>
          <w:rFonts w:ascii="Times New Roman" w:hAnsi="Times New Roman"/>
          <w:color w:val="000000"/>
          <w:sz w:val="28"/>
        </w:rPr>
        <w:t>Расстояние от строительных конструкций помещения до отопительного бытового газоиспользующего оборудования следует принимать в соответствии с требованиями инструкций предприятия-изготовителя. При отсутствии требований в инструкциях бытовое газоиспользующее оборудование следует устанавливать исходя из условия удобства монтажа, эксплуатации и ремонта. При этом должны быть выполнены следующие требования:</w:t>
      </w:r>
    </w:p>
    <w:p w14:paraId="1C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настенное бытовое газоиспользующее оборудование для отопления и горячего водоснабжения должно быть установлено на стенах из негорючих материалов на расстоянии не менее 2 см от стены, в том числе боковой;</w:t>
      </w:r>
    </w:p>
    <w:p w14:paraId="1D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стены из горючих материалов (Г1 - Г4) должны быть изолированы негорючими материалами или экранами заводского изготовления из закаленного многослойного стекла по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"consultantplus://offline/ref=9B6DF4EFC7E578875E2518A2176626211E766C32BA948D9FDEF277EA7CE8F3116B63B9F5858746EABC7A3052N1z3J"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ГОСТ 30698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не поддерживающими горения и распространения пламени по изолированной поверхности, на расстоянии не менее 3 см от стены, в том числе боковой. Изоляция должна выступать за габариты корпуса оборудования на 10 см и на 70 см сверху;</w:t>
      </w:r>
    </w:p>
    <w:p w14:paraId="1E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высота установки настенного оборудования должна быть удобной для эксплуатации и ремонта;</w:t>
      </w:r>
    </w:p>
    <w:p w14:paraId="1F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расстояние по горизонтали в свету от выступающих частей отопительного оборудования до бытовой газовой плиты должно быть не менее 10 см;</w:t>
      </w:r>
    </w:p>
    <w:p w14:paraId="20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 установке оборудования на пол с деревянным или другим горючим покрытием необходимо предусмотреть изоляцию пола предтопочным листом из негорючего материала. Изоляция пола должна выступать за габариты корпуса оборудования не менее чем на 10 см.</w:t>
      </w:r>
    </w:p>
    <w:p w14:paraId="21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</w:t>
      </w:r>
      <w:r>
        <w:rPr>
          <w:rFonts w:ascii="Times New Roman" w:hAnsi="Times New Roman"/>
          <w:color w:val="000000"/>
          <w:sz w:val="28"/>
        </w:rPr>
        <w:t xml:space="preserve">В существующих одноквартирных жилых домах установка газовых плит допускается в помещениях, соответствующих требованиям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\l "P0"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но имеющих высоту менее 2,2 м до 2,0 м включительно, если эти помещения имеют объем не менее чем в 1,25 раза более нормативного, указанного в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\l "P0"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. При этом в домах, не имеющих выделенной кухни, объем помещения, в котором устанавливается газовая плита, должен в два раза превышать указанный в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\l "P0"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22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кухнях и помещениях с наклонными потолками, имеющих высоту в средней части не менее 2,0 м, установку бытового газоиспользующего оборудования следует предусматривать в той части кухни, где высота не менее 2,2 м.</w:t>
      </w:r>
    </w:p>
    <w:p w14:paraId="23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11. </w:t>
      </w:r>
      <w:r>
        <w:rPr>
          <w:rFonts w:ascii="Times New Roman" w:hAnsi="Times New Roman"/>
          <w:color w:val="000000"/>
          <w:sz w:val="28"/>
        </w:rPr>
        <w:t xml:space="preserve">Каждый объект, на котором устанавливается бытовое газоиспользующее оборудование, должен быть оснащен узлом учета газа в соответствии с действующим законодательством Российской Федерации. </w:t>
      </w:r>
    </w:p>
    <w:p w14:paraId="24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25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Отмечаем, что при проектировании сети газопотребления возможны различные нюансы, не указанные в данном письме, которые будут учтены проектировщиком.</w:t>
      </w:r>
    </w:p>
    <w:p w14:paraId="26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7000000">
      <w:pPr>
        <w:ind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Также, в дополнение 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к 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вышеуказанной информации сообщаем </w:t>
      </w:r>
      <w:r>
        <w:rPr>
          <w:rFonts w:ascii="Times New Roman" w:hAnsi="Times New Roman"/>
          <w:b w:val="1"/>
          <w:color w:val="000000"/>
          <w:sz w:val="28"/>
          <w:u w:val="single"/>
        </w:rPr>
        <w:t>порядок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 газификации частных жилых домов:</w:t>
      </w:r>
    </w:p>
    <w:p w14:paraId="28000000">
      <w:pPr>
        <w:tabs>
          <w:tab w:leader="none" w:pos="4677" w:val="center"/>
          <w:tab w:leader="none" w:pos="9355" w:val="right"/>
        </w:tabs>
        <w:ind/>
        <w:rPr>
          <w:rFonts w:ascii="Times New Roman" w:hAnsi="Times New Roman"/>
          <w:color w:val="000000"/>
          <w:sz w:val="28"/>
          <w:u w:val="single"/>
        </w:rPr>
      </w:pPr>
    </w:p>
    <w:p w14:paraId="29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Правилами подключение (технологическое присоединение) газоиспользующего оборудования или объектов капитального строительства к сети газораспределения осуществляется в следующем порядке:</w:t>
      </w:r>
    </w:p>
    <w:p w14:paraId="2A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направление заявителем на имя единого оператора газификации или регионального оператора газификации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b w:val="1"/>
          <w:color w:val="000000"/>
          <w:sz w:val="28"/>
        </w:rPr>
        <w:t>АО «Газпром газораспределение Сыктывкар»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заявки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форме;</w:t>
      </w:r>
    </w:p>
    <w:p w14:paraId="2B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 с приложением технических условий, являющихся неотъемлемой частью договора о подключении;</w:t>
      </w:r>
    </w:p>
    <w:p w14:paraId="2C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</w:t>
      </w:r>
      <w:r>
        <w:rPr>
          <w:rFonts w:ascii="Times New Roman" w:hAnsi="Times New Roman"/>
          <w:color w:val="000000"/>
          <w:sz w:val="28"/>
        </w:rPr>
        <w:t>выполнение заявителем и исполнителем условий договора о подключении и технических условий;</w:t>
      </w:r>
    </w:p>
    <w:p w14:paraId="2D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разработка проектной документации газификации дома согласно обязательствам сторон договора о подключении;</w:t>
      </w:r>
    </w:p>
    <w:p w14:paraId="2E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по типовой форме;</w:t>
      </w:r>
    </w:p>
    <w:p w14:paraId="2F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по типовой форме.</w:t>
      </w:r>
    </w:p>
    <w:p w14:paraId="30000000">
      <w:pPr>
        <w:tabs>
          <w:tab w:leader="none" w:pos="4677" w:val="center"/>
          <w:tab w:leader="none" w:pos="9355" w:val="righ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1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К заявке на подключение прикладываются</w:t>
      </w:r>
      <w:r>
        <w:rPr>
          <w:rFonts w:ascii="Times New Roman" w:hAnsi="Times New Roman"/>
          <w:color w:val="000000"/>
          <w:sz w:val="28"/>
          <w:u w:val="single"/>
        </w:rPr>
        <w:t xml:space="preserve"> следующие документы:</w:t>
      </w:r>
    </w:p>
    <w:p w14:paraId="32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правоустанавливающие документы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</w:t>
      </w:r>
      <w:r>
        <w:rPr>
          <w:rFonts w:ascii="Times New Roman" w:hAnsi="Times New Roman"/>
          <w:color w:val="000000"/>
          <w:sz w:val="28"/>
        </w:rPr>
        <w:t>,</w:t>
      </w:r>
    </w:p>
    <w:p w14:paraId="33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ехнический паспорт дома</w:t>
      </w:r>
      <w:r>
        <w:rPr>
          <w:rFonts w:ascii="Times New Roman" w:hAnsi="Times New Roman"/>
          <w:color w:val="000000"/>
          <w:sz w:val="28"/>
        </w:rPr>
        <w:t>,</w:t>
      </w:r>
    </w:p>
    <w:p w14:paraId="34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ситуационный план (</w:t>
      </w:r>
      <w:r>
        <w:rPr>
          <w:rFonts w:ascii="Times New Roman" w:hAnsi="Times New Roman"/>
          <w:color w:val="000000"/>
          <w:sz w:val="28"/>
        </w:rPr>
        <w:t>план участка и прилегающей к нему территории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,</w:t>
      </w:r>
    </w:p>
    <w:p w14:paraId="35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огласие соседей на про</w:t>
      </w:r>
      <w:r>
        <w:rPr>
          <w:rFonts w:ascii="Times New Roman" w:hAnsi="Times New Roman"/>
          <w:color w:val="000000"/>
          <w:sz w:val="28"/>
        </w:rPr>
        <w:t>кладку</w:t>
      </w:r>
      <w:r>
        <w:rPr>
          <w:rFonts w:ascii="Times New Roman" w:hAnsi="Times New Roman"/>
          <w:color w:val="000000"/>
          <w:sz w:val="28"/>
        </w:rPr>
        <w:t xml:space="preserve"> газопровода через их участок (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необходим</w:t>
      </w:r>
      <w:r>
        <w:rPr>
          <w:rFonts w:ascii="Times New Roman" w:hAnsi="Times New Roman"/>
          <w:color w:val="000000"/>
          <w:sz w:val="28"/>
        </w:rPr>
        <w:t>ости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,</w:t>
      </w:r>
    </w:p>
    <w:p w14:paraId="36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доверенность (при подаче заявки</w:t>
      </w:r>
      <w:r>
        <w:rPr>
          <w:rFonts w:ascii="Times New Roman" w:hAnsi="Times New Roman"/>
          <w:color w:val="000000"/>
          <w:sz w:val="28"/>
        </w:rPr>
        <w:t xml:space="preserve"> представителем</w:t>
      </w:r>
      <w:r>
        <w:rPr>
          <w:rFonts w:ascii="Times New Roman" w:hAnsi="Times New Roman"/>
          <w:color w:val="000000"/>
          <w:sz w:val="28"/>
        </w:rPr>
        <w:t xml:space="preserve"> заявителя</w:t>
      </w:r>
      <w:r>
        <w:rPr>
          <w:rFonts w:ascii="Times New Roman" w:hAnsi="Times New Roman"/>
          <w:color w:val="000000"/>
          <w:sz w:val="28"/>
        </w:rPr>
        <w:t>),</w:t>
      </w:r>
    </w:p>
    <w:p w14:paraId="37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расчет максимального часового расхода газа (не прилагается, если планируемый максимальный часовой расход газа не более 7 куб. метров). В случае если заявитель не обладает информацией о планируемой величине максимального часового расхода газа, указанная информация уточняется с участием сотрудников исполнителя при подаче заявки о подключении либо при ее формировании.</w:t>
      </w:r>
    </w:p>
    <w:p w14:paraId="38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подаче заявки перечень прикладываемых документов может уточняться.</w:t>
      </w:r>
    </w:p>
    <w:p w14:paraId="39000000">
      <w:pPr>
        <w:widowControl w:val="1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sectPr>
      <w:pgSz w:h="16838" w:orient="portrait" w:w="11906"/>
      <w:pgMar w:bottom="567" w:footer="709" w:gutter="0" w:header="709" w:left="1418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">
    <w:lvl w:ilvl="0">
      <w:start w:val="5"/>
      <w:numFmt w:val="decimal"/>
      <w:lvlText w:val="%1."/>
      <w:lvlJc w:val="left"/>
      <w:pPr>
        <w:ind w:hanging="360" w:left="90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  <w:rPr>
      <w:rFonts w:ascii="Arial" w:hAnsi="Arial"/>
    </w:rPr>
  </w:style>
  <w:style w:default="1" w:styleId="Style_1_ch" w:type="character">
    <w:name w:val="Normal"/>
    <w:link w:val="Style_1"/>
    <w:rPr>
      <w:rFonts w:ascii="Arial" w:hAnsi="Arial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footer"/>
    <w:basedOn w:val="Style_1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1_ch"/>
    <w:link w:val="Style_6"/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Стиль3"/>
    <w:link w:val="Style_9_ch"/>
    <w:rPr>
      <w:rFonts w:ascii="Times New Roman" w:hAnsi="Times New Roman"/>
      <w:sz w:val="26"/>
    </w:rPr>
  </w:style>
  <w:style w:styleId="Style_9_ch" w:type="character">
    <w:name w:val="Стиль3"/>
    <w:link w:val="Style_9"/>
    <w:rPr>
      <w:rFonts w:ascii="Times New Roman" w:hAnsi="Times New Roman"/>
      <w:sz w:val="26"/>
    </w:rPr>
  </w:style>
  <w:style w:styleId="Style_10" w:type="paragraph">
    <w:name w:val="header"/>
    <w:basedOn w:val="Style_1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1_ch"/>
    <w:link w:val="Style_10"/>
  </w:style>
  <w:style w:styleId="Style_11" w:type="paragraph">
    <w:name w:val="Стиль 1"/>
    <w:link w:val="Style_11_ch"/>
    <w:rPr>
      <w:rFonts w:ascii="Times New Roman" w:hAnsi="Times New Roman"/>
      <w:b w:val="1"/>
      <w:sz w:val="26"/>
    </w:rPr>
  </w:style>
  <w:style w:styleId="Style_11_ch" w:type="character">
    <w:name w:val="Стиль 1"/>
    <w:link w:val="Style_11"/>
    <w:rPr>
      <w:rFonts w:ascii="Times New Roman" w:hAnsi="Times New Roman"/>
      <w:b w:val="1"/>
      <w:sz w:val="26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laceholder Text"/>
    <w:link w:val="Style_13_ch"/>
    <w:rPr>
      <w:color w:val="808080"/>
    </w:rPr>
  </w:style>
  <w:style w:styleId="Style_13_ch" w:type="character">
    <w:name w:val="Placeholder Text"/>
    <w:link w:val="Style_13"/>
    <w:rPr>
      <w:color w:val="808080"/>
    </w:rPr>
  </w:style>
  <w:style w:styleId="Style_14" w:type="paragraph">
    <w:name w:val="Стиль1"/>
    <w:link w:val="Style_14_ch"/>
    <w:rPr>
      <w:rFonts w:ascii="Times New Roman" w:hAnsi="Times New Roman"/>
      <w:b w:val="1"/>
      <w:sz w:val="26"/>
    </w:rPr>
  </w:style>
  <w:style w:styleId="Style_14_ch" w:type="character">
    <w:name w:val="Стиль1"/>
    <w:link w:val="Style_14"/>
    <w:rPr>
      <w:rFonts w:ascii="Times New Roman" w:hAnsi="Times New Roman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563C1"/>
      <w:u w:val="single"/>
    </w:rPr>
  </w:style>
  <w:style w:styleId="Style_18_ch" w:type="character">
    <w:name w:val="Hyperlink"/>
    <w:link w:val="Style_18"/>
    <w:rPr>
      <w:color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Стиль5"/>
    <w:link w:val="Style_20_ch"/>
    <w:rPr>
      <w:rFonts w:ascii="Times New Roman" w:hAnsi="Times New Roman"/>
      <w:color w:val="000000"/>
      <w:sz w:val="26"/>
    </w:rPr>
  </w:style>
  <w:style w:styleId="Style_20_ch" w:type="character">
    <w:name w:val="Стиль5"/>
    <w:link w:val="Style_20"/>
    <w:rPr>
      <w:rFonts w:ascii="Times New Roman" w:hAnsi="Times New Roman"/>
      <w:color w:val="000000"/>
      <w:sz w:val="26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Стиль4"/>
    <w:link w:val="Style_23_ch"/>
    <w:rPr>
      <w:rFonts w:ascii="Times New Roman" w:hAnsi="Times New Roman"/>
      <w:sz w:val="20"/>
    </w:rPr>
  </w:style>
  <w:style w:styleId="Style_23_ch" w:type="character">
    <w:name w:val="Стиль4"/>
    <w:link w:val="Style_23"/>
    <w:rPr>
      <w:rFonts w:ascii="Times New Roman" w:hAnsi="Times New Roman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"/>
    <w:basedOn w:val="Style_1"/>
    <w:link w:val="Style_27_ch"/>
    <w:pPr>
      <w:spacing w:after="120"/>
      <w:ind/>
    </w:pPr>
  </w:style>
  <w:style w:styleId="Style_27_ch" w:type="character">
    <w:name w:val="Body Text"/>
    <w:basedOn w:val="Style_1_ch"/>
    <w:link w:val="Style_27"/>
  </w:style>
  <w:style w:styleId="Style_28" w:type="paragraph">
    <w:name w:val="Body Text 2"/>
    <w:basedOn w:val="Style_1"/>
    <w:link w:val="Style_28_ch"/>
    <w:pPr>
      <w:widowControl w:val="1"/>
      <w:ind/>
    </w:pPr>
    <w:rPr>
      <w:rFonts w:ascii="Arial Narrow" w:hAnsi="Arial Narrow"/>
      <w:sz w:val="28"/>
    </w:rPr>
  </w:style>
  <w:style w:styleId="Style_28_ch" w:type="character">
    <w:name w:val="Body Text 2"/>
    <w:basedOn w:val="Style_1_ch"/>
    <w:link w:val="Style_28"/>
    <w:rPr>
      <w:rFonts w:ascii="Arial Narrow" w:hAnsi="Arial Narrow"/>
      <w:sz w:val="28"/>
    </w:rPr>
  </w:style>
  <w:style w:styleId="Style_29" w:type="paragraph">
    <w:name w:val="Subtitle"/>
    <w:next w:val="Style_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Стиль2"/>
    <w:link w:val="Style_30_ch"/>
    <w:rPr>
      <w:rFonts w:ascii="Times New Roman" w:hAnsi="Times New Roman"/>
      <w:i w:val="1"/>
      <w:sz w:val="24"/>
    </w:rPr>
  </w:style>
  <w:style w:styleId="Style_30_ch" w:type="character">
    <w:name w:val="Стиль2"/>
    <w:link w:val="Style_30"/>
    <w:rPr>
      <w:rFonts w:ascii="Times New Roman" w:hAnsi="Times New Roman"/>
      <w:i w:val="1"/>
      <w:sz w:val="24"/>
    </w:rPr>
  </w:style>
  <w:style w:styleId="Style_31" w:type="paragraph">
    <w:name w:val="Title"/>
    <w:next w:val="Style_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2024-04-11T11:54:08Z</dcterms:modified>
</cp:coreProperties>
</file>