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2414"/>
        <w:gridCol w:w="3588"/>
      </w:tblGrid>
      <w:tr w:rsidR="00281BCB" w:rsidRPr="00900DC5" w:rsidTr="00052C28">
        <w:trPr>
          <w:jc w:val="center"/>
        </w:trPr>
        <w:tc>
          <w:tcPr>
            <w:tcW w:w="3703" w:type="dxa"/>
          </w:tcPr>
          <w:p w:rsidR="00281BCB" w:rsidRPr="00900DC5" w:rsidRDefault="00281BCB" w:rsidP="00052C2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00DC5">
              <w:rPr>
                <w:b/>
                <w:sz w:val="22"/>
                <w:szCs w:val="22"/>
              </w:rPr>
              <w:t>Контрольно – ревизионная</w:t>
            </w:r>
          </w:p>
          <w:p w:rsidR="00281BCB" w:rsidRPr="00900DC5" w:rsidRDefault="00281BCB" w:rsidP="00052C28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комиссия –</w:t>
            </w:r>
          </w:p>
          <w:p w:rsidR="00281BCB" w:rsidRPr="00900DC5" w:rsidRDefault="00281BCB" w:rsidP="00052C28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контрольно-счетный орган</w:t>
            </w:r>
          </w:p>
          <w:p w:rsidR="00281BCB" w:rsidRPr="00900DC5" w:rsidRDefault="00281BCB" w:rsidP="00052C28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</w:p>
          <w:p w:rsidR="00281BCB" w:rsidRPr="00900DC5" w:rsidRDefault="00281BCB" w:rsidP="00052C28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«Койгородский»</w:t>
            </w:r>
          </w:p>
        </w:tc>
        <w:tc>
          <w:tcPr>
            <w:tcW w:w="2414" w:type="dxa"/>
          </w:tcPr>
          <w:p w:rsidR="00281BCB" w:rsidRDefault="008D32D0" w:rsidP="00052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015" cy="6889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Видзö</w:t>
            </w:r>
            <w:proofErr w:type="gramStart"/>
            <w:r w:rsidRPr="00900DC5">
              <w:rPr>
                <w:b/>
                <w:sz w:val="22"/>
                <w:szCs w:val="22"/>
              </w:rPr>
              <w:t>дан</w:t>
            </w:r>
            <w:proofErr w:type="gramEnd"/>
            <w:r w:rsidRPr="00900DC5">
              <w:rPr>
                <w:b/>
                <w:sz w:val="22"/>
                <w:szCs w:val="22"/>
              </w:rPr>
              <w:t xml:space="preserve"> да ревизия </w:t>
            </w:r>
          </w:p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DC5">
              <w:rPr>
                <w:b/>
                <w:sz w:val="22"/>
                <w:szCs w:val="22"/>
              </w:rPr>
              <w:t>ну</w:t>
            </w:r>
            <w:proofErr w:type="gramEnd"/>
            <w:r w:rsidRPr="00900DC5">
              <w:rPr>
                <w:b/>
                <w:sz w:val="22"/>
                <w:szCs w:val="22"/>
              </w:rPr>
              <w:t>öдан комиссия -</w:t>
            </w:r>
          </w:p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 xml:space="preserve">«Койгорт» </w:t>
            </w:r>
          </w:p>
          <w:p w:rsidR="00281BCB" w:rsidRPr="00900DC5" w:rsidRDefault="00281BCB" w:rsidP="00052C28">
            <w:pPr>
              <w:pStyle w:val="a6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муниципальнöй районлöн</w:t>
            </w:r>
          </w:p>
          <w:p w:rsidR="00281BCB" w:rsidRPr="00900DC5" w:rsidRDefault="00281BCB" w:rsidP="00052C28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видзöдан-арталан орган</w:t>
            </w:r>
          </w:p>
        </w:tc>
      </w:tr>
    </w:tbl>
    <w:p w:rsidR="00281BCB" w:rsidRDefault="00281BCB" w:rsidP="00281BCB"/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Информация</w:t>
      </w: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о результатах</w:t>
      </w:r>
      <w:r>
        <w:rPr>
          <w:b/>
        </w:rPr>
        <w:t xml:space="preserve"> </w:t>
      </w:r>
      <w:r w:rsidRPr="00CC2279">
        <w:rPr>
          <w:b/>
        </w:rPr>
        <w:t xml:space="preserve">экспертизы проектов решений Советов </w:t>
      </w: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сельских поселений  «О бюджете сельского поселения «__» на 20</w:t>
      </w:r>
      <w:r>
        <w:rPr>
          <w:b/>
        </w:rPr>
        <w:t>21</w:t>
      </w:r>
      <w:r w:rsidRPr="00CC2279">
        <w:rPr>
          <w:b/>
        </w:rPr>
        <w:t xml:space="preserve"> год</w:t>
      </w:r>
    </w:p>
    <w:p w:rsidR="00281BCB" w:rsidRPr="00CC2279" w:rsidRDefault="00281BCB" w:rsidP="00281BCB">
      <w:pPr>
        <w:jc w:val="center"/>
        <w:rPr>
          <w:b/>
        </w:rPr>
      </w:pPr>
      <w:r w:rsidRPr="00CC2279">
        <w:rPr>
          <w:b/>
        </w:rPr>
        <w:t>и плановый период 20</w:t>
      </w:r>
      <w:r>
        <w:rPr>
          <w:b/>
        </w:rPr>
        <w:t>22</w:t>
      </w:r>
      <w:r w:rsidRPr="00CC2279">
        <w:rPr>
          <w:b/>
        </w:rPr>
        <w:t xml:space="preserve"> и 20</w:t>
      </w:r>
      <w:r>
        <w:rPr>
          <w:b/>
        </w:rPr>
        <w:t>23</w:t>
      </w:r>
      <w:r w:rsidRPr="00CC2279">
        <w:rPr>
          <w:b/>
        </w:rPr>
        <w:t xml:space="preserve"> годов»</w:t>
      </w:r>
    </w:p>
    <w:p w:rsidR="00281BCB" w:rsidRDefault="00281BCB" w:rsidP="00281BCB">
      <w:pPr>
        <w:rPr>
          <w:color w:val="000000"/>
        </w:rPr>
      </w:pPr>
    </w:p>
    <w:p w:rsidR="003F1C19" w:rsidRDefault="003F1C19" w:rsidP="00281BCB">
      <w:pPr>
        <w:rPr>
          <w:color w:val="000000"/>
        </w:rPr>
      </w:pPr>
    </w:p>
    <w:p w:rsidR="00281BCB" w:rsidRPr="00CC2279" w:rsidRDefault="00281BCB" w:rsidP="00281BCB">
      <w:pPr>
        <w:rPr>
          <w:color w:val="000000"/>
        </w:rPr>
      </w:pPr>
      <w:r w:rsidRPr="00CC2279">
        <w:rPr>
          <w:color w:val="000000"/>
        </w:rPr>
        <w:t xml:space="preserve"> </w:t>
      </w:r>
      <w:r w:rsidRPr="000058B6">
        <w:rPr>
          <w:color w:val="000000"/>
        </w:rPr>
        <w:t>«</w:t>
      </w:r>
      <w:r>
        <w:rPr>
          <w:color w:val="000000"/>
        </w:rPr>
        <w:t>21»</w:t>
      </w:r>
      <w:r w:rsidRPr="000058B6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0058B6">
        <w:rPr>
          <w:color w:val="000000"/>
        </w:rPr>
        <w:t xml:space="preserve"> года</w:t>
      </w:r>
    </w:p>
    <w:p w:rsidR="00281BCB" w:rsidRDefault="00281BCB" w:rsidP="00281BCB">
      <w:pPr>
        <w:ind w:firstLine="709"/>
        <w:jc w:val="center"/>
        <w:rPr>
          <w:b/>
          <w:color w:val="FF0000"/>
        </w:rPr>
      </w:pPr>
    </w:p>
    <w:p w:rsidR="00281BCB" w:rsidRPr="00CC2279" w:rsidRDefault="00281BCB" w:rsidP="00281BCB">
      <w:pPr>
        <w:ind w:firstLine="709"/>
        <w:jc w:val="both"/>
      </w:pPr>
      <w:proofErr w:type="gramStart"/>
      <w:r w:rsidRPr="00CC2279">
        <w:t xml:space="preserve">В соответствии с Бюджетным кодексом Российской Федерации, Положением о Контрольно-ревизионной комиссии – контрольно-счетном органе муниципального района «Койгородский» на основании Соглашений о передаче полномочий контрольно-счетных органов муниципальных образований сельских поселений по осуществлению внешнего муниципального финансового контроля Контрольно-ревизионной комиссией </w:t>
      </w:r>
      <w:r>
        <w:t>проведены</w:t>
      </w:r>
      <w:r w:rsidRPr="00CC2279">
        <w:t xml:space="preserve"> экспертиз</w:t>
      </w:r>
      <w:r>
        <w:t>ы</w:t>
      </w:r>
      <w:r w:rsidRPr="00CC2279">
        <w:t xml:space="preserve"> проектов решений Советов сельских поселений «О бюджете сельского поселения «_» на 20</w:t>
      </w:r>
      <w:r>
        <w:t>21</w:t>
      </w:r>
      <w:r w:rsidRPr="00CC2279">
        <w:t xml:space="preserve"> год и плановый период 20</w:t>
      </w:r>
      <w:r>
        <w:t>22</w:t>
      </w:r>
      <w:r w:rsidRPr="00CC2279">
        <w:t xml:space="preserve"> и 20</w:t>
      </w:r>
      <w:r>
        <w:t>23</w:t>
      </w:r>
      <w:r w:rsidRPr="00CC2279">
        <w:t xml:space="preserve"> годов» (далее – проект решения</w:t>
      </w:r>
      <w:proofErr w:type="gramEnd"/>
      <w:r w:rsidRPr="00CC2279">
        <w:t xml:space="preserve">) </w:t>
      </w:r>
      <w:r>
        <w:t xml:space="preserve">восьми </w:t>
      </w:r>
      <w:r w:rsidRPr="00CC2279">
        <w:t>сельских поселени</w:t>
      </w:r>
      <w:r>
        <w:t>й</w:t>
      </w:r>
      <w:r w:rsidRPr="00CC2279">
        <w:t xml:space="preserve"> Койгородского района.</w:t>
      </w:r>
    </w:p>
    <w:p w:rsidR="00281BCB" w:rsidRPr="00CC2279" w:rsidRDefault="00281BCB" w:rsidP="00281BCB">
      <w:pPr>
        <w:ind w:firstLine="709"/>
        <w:jc w:val="both"/>
      </w:pPr>
      <w:r w:rsidRPr="00CC2279">
        <w:t>Экспертиза проектов бюджетов сельских поселений включала в себя изучение проект</w:t>
      </w:r>
      <w:r>
        <w:t xml:space="preserve">ов </w:t>
      </w:r>
      <w:r w:rsidRPr="00CC2279">
        <w:t>решени</w:t>
      </w:r>
      <w:r>
        <w:t>й</w:t>
      </w:r>
      <w:r w:rsidRPr="00CC2279">
        <w:t>, представленных вместе с ним</w:t>
      </w:r>
      <w:r>
        <w:t>и</w:t>
      </w:r>
      <w:r w:rsidRPr="00CC2279">
        <w:t xml:space="preserve"> документов и материалов, оценку доходных и расходных статей</w:t>
      </w:r>
      <w:r w:rsidR="003F1C19">
        <w:t xml:space="preserve"> бюджетов</w:t>
      </w:r>
      <w:r w:rsidRPr="00CC2279">
        <w:t xml:space="preserve">, оценку соблюдения установленных требований, принципов и правил при составлении проекта бюджета и подготовке проекта решения. </w:t>
      </w:r>
    </w:p>
    <w:p w:rsidR="00281BCB" w:rsidRDefault="00281BCB" w:rsidP="00281BCB">
      <w:pPr>
        <w:autoSpaceDE w:val="0"/>
        <w:autoSpaceDN w:val="0"/>
        <w:adjustRightInd w:val="0"/>
        <w:ind w:left="709"/>
      </w:pPr>
    </w:p>
    <w:p w:rsidR="00281BCB" w:rsidRDefault="00281BCB" w:rsidP="00281BCB">
      <w:pPr>
        <w:autoSpaceDE w:val="0"/>
        <w:autoSpaceDN w:val="0"/>
        <w:adjustRightInd w:val="0"/>
        <w:ind w:left="709"/>
      </w:pPr>
      <w:r>
        <w:t>1. П</w:t>
      </w:r>
      <w:r w:rsidRPr="00CC2279">
        <w:t>роведенная экспертиза дает основания заключить следующее</w:t>
      </w:r>
      <w:r>
        <w:t>:</w:t>
      </w:r>
    </w:p>
    <w:p w:rsidR="00281BCB" w:rsidRPr="00CC2279" w:rsidRDefault="00281BCB" w:rsidP="00281BCB">
      <w:pPr>
        <w:ind w:firstLine="709"/>
        <w:jc w:val="both"/>
      </w:pPr>
      <w:r w:rsidRPr="00CC2279">
        <w:t xml:space="preserve">- проекты решений внесены администрациями сельских поселений в Советы сельских поселений в сроки, установленные Бюджетным </w:t>
      </w:r>
      <w:r>
        <w:t>к</w:t>
      </w:r>
      <w:r w:rsidRPr="00CC2279">
        <w:t xml:space="preserve">одексом и Положениями о бюджетном процессе каждого сельского поселения, </w:t>
      </w:r>
      <w:r>
        <w:t xml:space="preserve">с учетом внесенных изменений на 2020 год, </w:t>
      </w:r>
      <w:r w:rsidRPr="00CC2279">
        <w:t xml:space="preserve">т.е. не позднее </w:t>
      </w:r>
      <w:r>
        <w:t>05</w:t>
      </w:r>
      <w:r w:rsidRPr="00CC2279">
        <w:t xml:space="preserve"> </w:t>
      </w:r>
      <w:r>
        <w:t>дека</w:t>
      </w:r>
      <w:r w:rsidRPr="00CC2279">
        <w:t>бря текущего года;</w:t>
      </w:r>
    </w:p>
    <w:p w:rsidR="00281BCB" w:rsidRPr="00CC2279" w:rsidRDefault="00281BCB" w:rsidP="00281BCB">
      <w:pPr>
        <w:ind w:firstLine="709"/>
        <w:jc w:val="both"/>
      </w:pPr>
      <w:r w:rsidRPr="00CC2279">
        <w:t>- согласно требованиям ст</w:t>
      </w:r>
      <w:r>
        <w:t>.</w:t>
      </w:r>
      <w:r w:rsidRPr="00CC2279">
        <w:t xml:space="preserve"> 184.1 Б</w:t>
      </w:r>
      <w:r w:rsidR="006C45E2">
        <w:t>юджетного кодекса</w:t>
      </w:r>
      <w:r w:rsidRPr="00CC2279">
        <w:t xml:space="preserve"> в проектах решени</w:t>
      </w:r>
      <w:r>
        <w:t>й</w:t>
      </w:r>
      <w:r w:rsidRPr="00CC2279">
        <w:t xml:space="preserve"> имеются все обязательные к утверждению основные характеристики бюджета;</w:t>
      </w:r>
    </w:p>
    <w:p w:rsidR="00281BCB" w:rsidRPr="00CC2279" w:rsidRDefault="00281BCB" w:rsidP="00281BCB">
      <w:pPr>
        <w:ind w:firstLine="709"/>
        <w:jc w:val="both"/>
      </w:pPr>
      <w:r w:rsidRPr="00CC2279">
        <w:t>- предусмотренные проектами решений о бюджете показатели бюджетов сельских поселений сбалансированы;</w:t>
      </w:r>
    </w:p>
    <w:p w:rsidR="00281BCB" w:rsidRPr="00CC2279" w:rsidRDefault="00281BCB" w:rsidP="00281BCB">
      <w:pPr>
        <w:ind w:firstLine="709"/>
        <w:jc w:val="both"/>
      </w:pPr>
      <w:r w:rsidRPr="00CC2279">
        <w:t xml:space="preserve">- в проектах бюджетов </w:t>
      </w:r>
      <w:r>
        <w:t xml:space="preserve">всех </w:t>
      </w:r>
      <w:r w:rsidRPr="00CC2279">
        <w:t>сельских поселений расходы не превышают доходов, соответственно дефицит (профицит) установлен 0 руб.;</w:t>
      </w:r>
    </w:p>
    <w:p w:rsidR="00281BCB" w:rsidRPr="00CC2279" w:rsidRDefault="00281BCB" w:rsidP="00281BCB">
      <w:pPr>
        <w:ind w:firstLine="709"/>
        <w:jc w:val="both"/>
      </w:pPr>
      <w:r w:rsidRPr="00CC2279">
        <w:t>- резервные фонды администраций сельских поселений запланированы в пределах норм, установленных ст.</w:t>
      </w:r>
      <w:r w:rsidR="006C45E2">
        <w:t xml:space="preserve"> </w:t>
      </w:r>
      <w:r w:rsidRPr="00CC2279">
        <w:t>81 Б</w:t>
      </w:r>
      <w:r w:rsidR="006C45E2">
        <w:t>юджетного кодекса</w:t>
      </w:r>
      <w:r w:rsidRPr="00CC2279">
        <w:t>, и не превышают 3% от общего объема утвержденных расходов</w:t>
      </w:r>
      <w:r>
        <w:t>.</w:t>
      </w:r>
    </w:p>
    <w:p w:rsidR="00281BCB" w:rsidRDefault="00281BCB" w:rsidP="00281BCB">
      <w:pPr>
        <w:ind w:firstLine="709"/>
        <w:jc w:val="both"/>
      </w:pPr>
    </w:p>
    <w:p w:rsidR="00281BCB" w:rsidRPr="00CC2279" w:rsidRDefault="00281BCB" w:rsidP="00281BCB">
      <w:pPr>
        <w:ind w:firstLine="709"/>
        <w:jc w:val="both"/>
      </w:pPr>
      <w:r>
        <w:t>2. О</w:t>
      </w:r>
      <w:r w:rsidRPr="00CC2279">
        <w:t>бъем</w:t>
      </w:r>
      <w:r>
        <w:t>ы</w:t>
      </w:r>
      <w:r w:rsidRPr="00CC2279">
        <w:t xml:space="preserve"> условно </w:t>
      </w:r>
      <w:r>
        <w:t>утвержде</w:t>
      </w:r>
      <w:r w:rsidRPr="00CC2279">
        <w:t>нны</w:t>
      </w:r>
      <w:r>
        <w:t>х</w:t>
      </w:r>
      <w:r w:rsidRPr="00CC2279">
        <w:t xml:space="preserve"> расходов на плановы</w:t>
      </w:r>
      <w:r>
        <w:t>е</w:t>
      </w:r>
      <w:r w:rsidRPr="00CC2279">
        <w:t xml:space="preserve"> период</w:t>
      </w:r>
      <w:r>
        <w:t>ы</w:t>
      </w:r>
      <w:r w:rsidRPr="00CC2279">
        <w:t xml:space="preserve"> соответств</w:t>
      </w:r>
      <w:r>
        <w:t>овали</w:t>
      </w:r>
      <w:r w:rsidRPr="00CC2279">
        <w:t xml:space="preserve"> требованиям ст</w:t>
      </w:r>
      <w:r>
        <w:t>.</w:t>
      </w:r>
      <w:r w:rsidRPr="00CC2279">
        <w:t xml:space="preserve"> 184.1 Б</w:t>
      </w:r>
      <w:r w:rsidR="006C45E2">
        <w:t>юджетного кодекса</w:t>
      </w:r>
      <w:r>
        <w:t xml:space="preserve"> в проектах бюджетов трех поселений</w:t>
      </w:r>
      <w:r w:rsidRPr="00CC2279">
        <w:t>.</w:t>
      </w:r>
      <w:r>
        <w:t xml:space="preserve"> В проектах бюджетов четырех поселений имелись расхождения между объемами условно утвержденных расходов, указанных в приложениях 2,3,4 к решению о бюджете (</w:t>
      </w:r>
      <w:proofErr w:type="gramStart"/>
      <w:r>
        <w:t>исчислены</w:t>
      </w:r>
      <w:proofErr w:type="gramEnd"/>
      <w:r>
        <w:t xml:space="preserve"> верно), и указанных в статье 2 текстовой части решения (на первый и второй год планового периода в бюджете МО СП «Койдин» меньше на 0,3 тыс. руб. и 0,5 тыс. руб., в бюджете МО СП «Кузьель» меньше на 0,3 тыс. руб. и 0,1 тыс. руб.; на второй год планового периода в бюджете МО СП «Кажым» больше на 0,4 тыс. руб., в бюджете МО СП «</w:t>
      </w:r>
      <w:proofErr w:type="spellStart"/>
      <w:r>
        <w:t>Ужга</w:t>
      </w:r>
      <w:proofErr w:type="spellEnd"/>
      <w:r>
        <w:t xml:space="preserve">» меньше на 0,4 тыс. руб.). В проекте бюджета МО СП «Койгородок» объемы условно утвержденных расходов были ниже установленных требований на 0,2 тыс. руб. на 2022г., на 0,5 тыс. руб. на 2023г. В ходе </w:t>
      </w:r>
      <w:r w:rsidR="005B0491">
        <w:t xml:space="preserve">рассмотрения </w:t>
      </w:r>
      <w:r>
        <w:t xml:space="preserve">заключения были внесены изменения </w:t>
      </w:r>
      <w:r w:rsidR="00B20EFB">
        <w:t xml:space="preserve">объемы условно утвержденных расходов, а также откорректированы </w:t>
      </w:r>
      <w:r>
        <w:t xml:space="preserve">текстовые части решений о бюджете. </w:t>
      </w:r>
    </w:p>
    <w:p w:rsidR="00281BCB" w:rsidRDefault="00281BCB" w:rsidP="00281BCB">
      <w:pPr>
        <w:ind w:firstLine="709"/>
        <w:jc w:val="both"/>
        <w:rPr>
          <w:color w:val="000000"/>
        </w:rPr>
      </w:pPr>
    </w:p>
    <w:p w:rsidR="00281BCB" w:rsidRDefault="00281BCB" w:rsidP="00281BC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3</w:t>
      </w:r>
      <w:r w:rsidRPr="00CC2279">
        <w:rPr>
          <w:color w:val="000000"/>
        </w:rPr>
        <w:t xml:space="preserve">. </w:t>
      </w:r>
      <w:r>
        <w:rPr>
          <w:color w:val="000000"/>
        </w:rPr>
        <w:t xml:space="preserve">В целом в бюджетах всех сельских поселений на 2021 год, по сравнению с </w:t>
      </w:r>
      <w:r w:rsidRPr="00AD589D">
        <w:t>ожидаем</w:t>
      </w:r>
      <w:r>
        <w:t xml:space="preserve">ой оценкой </w:t>
      </w:r>
      <w:r w:rsidRPr="00AD589D">
        <w:t>исполнени</w:t>
      </w:r>
      <w:r>
        <w:t>я</w:t>
      </w:r>
      <w:r w:rsidRPr="00AD589D">
        <w:t xml:space="preserve"> бюджетов поселений в 20</w:t>
      </w:r>
      <w:r>
        <w:t>20</w:t>
      </w:r>
      <w:r w:rsidRPr="00AD589D">
        <w:t xml:space="preserve"> году</w:t>
      </w:r>
      <w:r>
        <w:t>,</w:t>
      </w:r>
      <w:r w:rsidRPr="00AD589D">
        <w:t xml:space="preserve"> запланировано снижение доходных и расходных частей бюджетов</w:t>
      </w:r>
      <w:r>
        <w:t>.</w:t>
      </w:r>
    </w:p>
    <w:p w:rsidR="00281BCB" w:rsidRDefault="00281BCB" w:rsidP="00281BCB">
      <w:pPr>
        <w:autoSpaceDE w:val="0"/>
        <w:autoSpaceDN w:val="0"/>
        <w:adjustRightInd w:val="0"/>
        <w:ind w:firstLine="709"/>
        <w:jc w:val="both"/>
      </w:pPr>
      <w:r w:rsidRPr="007436DC">
        <w:t xml:space="preserve">На 2022 год основные характеристики бюджета запланированы ниже предыдущего года во всех сельских поселениях, в 2023 году – с незначительным увеличением по сравнению с прошлым годом в бюджетах </w:t>
      </w:r>
      <w:r w:rsidR="007436DC" w:rsidRPr="007436DC">
        <w:t>двух</w:t>
      </w:r>
      <w:r w:rsidRPr="007436DC">
        <w:t xml:space="preserve"> поселений</w:t>
      </w:r>
      <w:r w:rsidR="007436DC" w:rsidRPr="007436DC">
        <w:t xml:space="preserve"> (Койгородок, Койдин)</w:t>
      </w:r>
      <w:r w:rsidRPr="007436DC">
        <w:t>.</w:t>
      </w:r>
    </w:p>
    <w:p w:rsidR="00281BCB" w:rsidRDefault="00281BCB" w:rsidP="00281BCB">
      <w:pPr>
        <w:ind w:firstLine="709"/>
        <w:jc w:val="both"/>
      </w:pPr>
    </w:p>
    <w:p w:rsidR="00281BCB" w:rsidRPr="00614E9F" w:rsidRDefault="00281BCB" w:rsidP="00281BCB">
      <w:pPr>
        <w:ind w:firstLine="709"/>
        <w:jc w:val="both"/>
      </w:pPr>
      <w:r>
        <w:t>4. При ф</w:t>
      </w:r>
      <w:r w:rsidRPr="00F91D65">
        <w:t>ормировани</w:t>
      </w:r>
      <w:r>
        <w:t>и</w:t>
      </w:r>
      <w:r w:rsidRPr="00F91D65">
        <w:t xml:space="preserve"> доходной части </w:t>
      </w:r>
      <w:r>
        <w:t>п</w:t>
      </w:r>
      <w:r w:rsidRPr="00F91D65">
        <w:t>роект</w:t>
      </w:r>
      <w:r>
        <w:t>ов</w:t>
      </w:r>
      <w:r w:rsidRPr="00F91D65">
        <w:t xml:space="preserve"> бюджет</w:t>
      </w:r>
      <w:r>
        <w:t>ов</w:t>
      </w:r>
      <w:r w:rsidRPr="00F91D65">
        <w:t xml:space="preserve"> уч</w:t>
      </w:r>
      <w:r>
        <w:t xml:space="preserve">итывались </w:t>
      </w:r>
      <w:r w:rsidRPr="00F91D65">
        <w:t xml:space="preserve">сведения о прогнозе поступлений налоговых </w:t>
      </w:r>
      <w:r>
        <w:t>д</w:t>
      </w:r>
      <w:r w:rsidRPr="00F91D65">
        <w:t>оходов</w:t>
      </w:r>
      <w:r>
        <w:t xml:space="preserve"> </w:t>
      </w:r>
      <w:r w:rsidR="00F26BC2">
        <w:t>Федеральной налоговой службы</w:t>
      </w:r>
      <w:r>
        <w:t xml:space="preserve"> и сведения </w:t>
      </w:r>
      <w:r w:rsidRPr="00F91D65">
        <w:t>главны</w:t>
      </w:r>
      <w:r>
        <w:t>х</w:t>
      </w:r>
      <w:r w:rsidRPr="00F91D65">
        <w:t xml:space="preserve"> администратор</w:t>
      </w:r>
      <w:r>
        <w:t>ов</w:t>
      </w:r>
      <w:r w:rsidRPr="00F91D65">
        <w:t xml:space="preserve"> </w:t>
      </w:r>
      <w:r>
        <w:t xml:space="preserve">неналоговых </w:t>
      </w:r>
      <w:r w:rsidRPr="00614E9F">
        <w:t>доходов.</w:t>
      </w:r>
    </w:p>
    <w:p w:rsidR="00281BCB" w:rsidRDefault="00281BCB" w:rsidP="00281BCB">
      <w:pPr>
        <w:autoSpaceDE w:val="0"/>
        <w:autoSpaceDN w:val="0"/>
        <w:adjustRightInd w:val="0"/>
        <w:ind w:firstLine="709"/>
        <w:jc w:val="both"/>
      </w:pPr>
      <w:r w:rsidRPr="002F0F5F">
        <w:t xml:space="preserve">Собственные доходы бюджетов </w:t>
      </w:r>
      <w:r w:rsidR="007436DC" w:rsidRPr="002F0F5F">
        <w:t xml:space="preserve">шести </w:t>
      </w:r>
      <w:r w:rsidRPr="002F0F5F">
        <w:t>сельских поселений спрогнозированы на 2021 год с уменьшением по сравнению с текущим годом</w:t>
      </w:r>
      <w:r w:rsidR="00A74BC3" w:rsidRPr="002F0F5F">
        <w:t xml:space="preserve">, в двух – с увеличением (Койгородок, Койдин). Поступления </w:t>
      </w:r>
      <w:r w:rsidRPr="002F0F5F">
        <w:t xml:space="preserve">налоговых доходов </w:t>
      </w:r>
      <w:r w:rsidR="00A74BC3" w:rsidRPr="002F0F5F">
        <w:t xml:space="preserve">в четырех поселениях запланированы с увеличением </w:t>
      </w:r>
      <w:r w:rsidR="005507B9" w:rsidRPr="002F0F5F">
        <w:t xml:space="preserve">(Койгородок, Койдин, </w:t>
      </w:r>
      <w:proofErr w:type="spellStart"/>
      <w:r w:rsidR="005507B9" w:rsidRPr="002F0F5F">
        <w:t>Ужга</w:t>
      </w:r>
      <w:proofErr w:type="spellEnd"/>
      <w:r w:rsidR="005507B9" w:rsidRPr="002F0F5F">
        <w:t xml:space="preserve">, Грива), в остальных – с незначительным уменьшением. В структуре собственных налоговых доходов поступление НДФЛ – больше </w:t>
      </w:r>
      <w:r w:rsidR="0043511F" w:rsidRPr="002F0F5F">
        <w:t xml:space="preserve">оценки </w:t>
      </w:r>
      <w:r w:rsidR="005507B9" w:rsidRPr="002F0F5F">
        <w:t xml:space="preserve">текущего года, </w:t>
      </w:r>
      <w:r w:rsidR="0043511F" w:rsidRPr="002F0F5F">
        <w:t>поступление налогов на совокупный доход – меньше оценки текущего года.</w:t>
      </w:r>
      <w:r w:rsidR="001837F8">
        <w:t xml:space="preserve"> </w:t>
      </w:r>
      <w:r w:rsidR="00332D59">
        <w:t xml:space="preserve">Поступление собственных неналоговых доходов запланированы с увеличением в двух сельских поселениях (Койгородок, </w:t>
      </w:r>
      <w:r w:rsidR="00332D59" w:rsidRPr="00332D59">
        <w:t xml:space="preserve">Койдин), в основном за счет увеличения доходов от использования муниципального имущества (аренды). </w:t>
      </w:r>
      <w:r w:rsidR="001837F8" w:rsidRPr="00332D59">
        <w:t>Б</w:t>
      </w:r>
      <w:r w:rsidRPr="00332D59">
        <w:t>езвозмездны</w:t>
      </w:r>
      <w:r w:rsidR="001837F8" w:rsidRPr="00332D59">
        <w:t>е</w:t>
      </w:r>
      <w:r w:rsidRPr="00332D59">
        <w:t xml:space="preserve"> поступлени</w:t>
      </w:r>
      <w:r w:rsidR="001837F8" w:rsidRPr="00332D59">
        <w:t>я</w:t>
      </w:r>
      <w:r w:rsidRPr="00332D59">
        <w:t xml:space="preserve"> </w:t>
      </w:r>
      <w:r w:rsidR="001837F8" w:rsidRPr="00332D59">
        <w:t>ежегодно запланированы меньше предыдущего года. Традиционно, в течение года их объемы будут корректироваться в зависимости от поступления межбюджетных трансфертов из других бюджетов бюджетной системы.</w:t>
      </w:r>
      <w:r>
        <w:t xml:space="preserve"> </w:t>
      </w:r>
      <w:r w:rsidRPr="00AD589D">
        <w:t xml:space="preserve"> </w:t>
      </w:r>
    </w:p>
    <w:p w:rsidR="00281BCB" w:rsidRPr="00CC2279" w:rsidRDefault="00281BCB" w:rsidP="00281BCB">
      <w:pPr>
        <w:ind w:firstLine="709"/>
        <w:jc w:val="both"/>
      </w:pPr>
      <w:r w:rsidRPr="00E90275">
        <w:t xml:space="preserve">При формировании расходной части </w:t>
      </w:r>
      <w:r>
        <w:t>п</w:t>
      </w:r>
      <w:r w:rsidRPr="00E90275">
        <w:t>роект</w:t>
      </w:r>
      <w:r>
        <w:t>ов</w:t>
      </w:r>
      <w:r w:rsidRPr="00E90275">
        <w:t xml:space="preserve"> бюджет</w:t>
      </w:r>
      <w:r>
        <w:t>ов</w:t>
      </w:r>
      <w:r w:rsidRPr="00E90275">
        <w:t xml:space="preserve"> распределение бюджетных ассигнований предусмотрено по разделам, подразделам, целевым статьям, вид</w:t>
      </w:r>
      <w:r>
        <w:t>ам</w:t>
      </w:r>
      <w:r w:rsidRPr="00E90275">
        <w:t xml:space="preserve"> расходов. Главным</w:t>
      </w:r>
      <w:r>
        <w:t>и</w:t>
      </w:r>
      <w:r w:rsidRPr="00E90275">
        <w:t xml:space="preserve"> рас</w:t>
      </w:r>
      <w:r>
        <w:t>порядителя</w:t>
      </w:r>
      <w:r w:rsidRPr="00E90275">
        <w:t>м</w:t>
      </w:r>
      <w:r>
        <w:t>и</w:t>
      </w:r>
      <w:r w:rsidRPr="00E90275">
        <w:t xml:space="preserve"> средств бюджет</w:t>
      </w:r>
      <w:r>
        <w:t>ов</w:t>
      </w:r>
      <w:r w:rsidRPr="00E90275">
        <w:t xml:space="preserve"> явля</w:t>
      </w:r>
      <w:r>
        <w:t>ю</w:t>
      </w:r>
      <w:r w:rsidRPr="00E90275">
        <w:t>тся администраци</w:t>
      </w:r>
      <w:r>
        <w:t>и</w:t>
      </w:r>
      <w:r w:rsidRPr="00E90275">
        <w:t xml:space="preserve"> </w:t>
      </w:r>
      <w:r>
        <w:t xml:space="preserve">сельских </w:t>
      </w:r>
      <w:r w:rsidRPr="00E90275">
        <w:t>поселени</w:t>
      </w:r>
      <w:r>
        <w:t>й.</w:t>
      </w:r>
      <w:r w:rsidRPr="00E90275">
        <w:t xml:space="preserve"> Все расходы запланированы по непрограммным направлениям деятельности</w:t>
      </w:r>
      <w:r>
        <w:t xml:space="preserve"> и рассчитаны исходя из прогноза поступлений</w:t>
      </w:r>
      <w:r w:rsidRPr="00E90275">
        <w:t>.</w:t>
      </w:r>
      <w:r>
        <w:t xml:space="preserve"> Аналогично доходам</w:t>
      </w:r>
      <w:r w:rsidR="00F26BC2">
        <w:t>,</w:t>
      </w:r>
      <w:r w:rsidRPr="00CC2279">
        <w:t xml:space="preserve"> расход</w:t>
      </w:r>
      <w:r w:rsidR="00F26BC2">
        <w:t xml:space="preserve">ная часть </w:t>
      </w:r>
      <w:r w:rsidRPr="00CC2279">
        <w:t xml:space="preserve">бюджетов </w:t>
      </w:r>
      <w:r>
        <w:t>спрогнозирован</w:t>
      </w:r>
      <w:r w:rsidR="00F26BC2">
        <w:t>а</w:t>
      </w:r>
      <w:r>
        <w:t xml:space="preserve"> </w:t>
      </w:r>
      <w:r w:rsidRPr="00CC2279">
        <w:t>со снижением по отношению к ожидаемой оценке 20</w:t>
      </w:r>
      <w:r>
        <w:t>20</w:t>
      </w:r>
      <w:r w:rsidRPr="00CC2279">
        <w:t xml:space="preserve"> года. </w:t>
      </w:r>
    </w:p>
    <w:p w:rsidR="00281BCB" w:rsidRPr="00CC2279" w:rsidRDefault="00281BCB" w:rsidP="00281BCB">
      <w:pPr>
        <w:pStyle w:val="ConsPlusNormal"/>
        <w:ind w:firstLine="709"/>
        <w:jc w:val="both"/>
        <w:rPr>
          <w:sz w:val="24"/>
          <w:szCs w:val="24"/>
        </w:rPr>
      </w:pPr>
      <w:r w:rsidRPr="00CC2279">
        <w:rPr>
          <w:sz w:val="24"/>
          <w:szCs w:val="24"/>
        </w:rPr>
        <w:t xml:space="preserve"> </w:t>
      </w:r>
    </w:p>
    <w:p w:rsidR="00281BCB" w:rsidRPr="00CC2279" w:rsidRDefault="00281BCB" w:rsidP="00281B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Pr="00CC2279">
        <w:t xml:space="preserve">. В </w:t>
      </w:r>
      <w:r w:rsidR="008D32D0">
        <w:t xml:space="preserve">основном, </w:t>
      </w:r>
      <w:r w:rsidRPr="00CC2279">
        <w:t>требования законодательства к содержанию проектов решений сельских поселений «О бюджете сельского поселения «_» на 20</w:t>
      </w:r>
      <w:r>
        <w:t>20</w:t>
      </w:r>
      <w:r w:rsidRPr="00CC2279">
        <w:t xml:space="preserve"> год и плановый период 20</w:t>
      </w:r>
      <w:r>
        <w:t>21</w:t>
      </w:r>
      <w:r w:rsidRPr="00CC2279">
        <w:t xml:space="preserve"> и 20</w:t>
      </w:r>
      <w:r>
        <w:t>22</w:t>
      </w:r>
      <w:r w:rsidRPr="00CC2279">
        <w:t xml:space="preserve"> годов» были соблюдены. </w:t>
      </w:r>
    </w:p>
    <w:p w:rsidR="00281BCB" w:rsidRDefault="00281BCB" w:rsidP="00281BCB">
      <w:pPr>
        <w:autoSpaceDE w:val="0"/>
        <w:autoSpaceDN w:val="0"/>
        <w:adjustRightInd w:val="0"/>
        <w:ind w:firstLine="709"/>
        <w:jc w:val="both"/>
      </w:pPr>
      <w:r>
        <w:t xml:space="preserve">Были отмечены </w:t>
      </w:r>
      <w:r w:rsidRPr="00AD589D">
        <w:t xml:space="preserve">недостатки в </w:t>
      </w:r>
      <w:r>
        <w:t>текстовой части решений</w:t>
      </w:r>
      <w:r w:rsidR="008D32D0">
        <w:t xml:space="preserve">, в </w:t>
      </w:r>
      <w:proofErr w:type="gramStart"/>
      <w:r w:rsidR="008D32D0">
        <w:t>связи</w:t>
      </w:r>
      <w:proofErr w:type="gramEnd"/>
      <w:r w:rsidR="008D32D0">
        <w:t xml:space="preserve"> с чем предложено</w:t>
      </w:r>
      <w:r>
        <w:t>:</w:t>
      </w:r>
    </w:p>
    <w:p w:rsidR="00281BCB" w:rsidRDefault="00281BCB" w:rsidP="00281BCB">
      <w:pPr>
        <w:autoSpaceDE w:val="0"/>
        <w:autoSpaceDN w:val="0"/>
        <w:adjustRightInd w:val="0"/>
        <w:ind w:firstLine="709"/>
        <w:jc w:val="both"/>
      </w:pPr>
      <w:r>
        <w:t>- исключить пункты об утверждении предельных объемов муниципального долга (это понятие утратило силу с изменениями бюджетного законодательства с 1 января 2020г.), аналогичное замечание содержалось в заключениях по экспертизе проектов бюджетов на 2020</w:t>
      </w:r>
      <w:r w:rsidR="006F6198">
        <w:t xml:space="preserve"> </w:t>
      </w:r>
      <w:r>
        <w:t>год и плановый период 2021 и 2022 годов;</w:t>
      </w:r>
    </w:p>
    <w:p w:rsidR="00281BCB" w:rsidRDefault="00281BCB" w:rsidP="00281BCB">
      <w:pPr>
        <w:autoSpaceDE w:val="0"/>
        <w:autoSpaceDN w:val="0"/>
        <w:adjustRightInd w:val="0"/>
        <w:ind w:firstLine="709"/>
        <w:jc w:val="both"/>
      </w:pPr>
      <w:r>
        <w:t>- внести изменения в пункт 20 (заменить 2020 год на 2021 год);</w:t>
      </w:r>
    </w:p>
    <w:p w:rsidR="008D32D0" w:rsidRDefault="008D32D0" w:rsidP="00CA16A2">
      <w:pPr>
        <w:ind w:firstLine="709"/>
        <w:jc w:val="both"/>
      </w:pPr>
    </w:p>
    <w:p w:rsidR="00281BCB" w:rsidRDefault="008D32D0" w:rsidP="00CA16A2">
      <w:pPr>
        <w:ind w:firstLine="709"/>
        <w:jc w:val="both"/>
      </w:pPr>
      <w:r>
        <w:t xml:space="preserve">6. </w:t>
      </w:r>
      <w:r w:rsidR="00D1070B">
        <w:t>В</w:t>
      </w:r>
      <w:r w:rsidR="00D1070B" w:rsidRPr="00AD589D">
        <w:t xml:space="preserve"> нарушение требований </w:t>
      </w:r>
      <w:r w:rsidR="00D1070B">
        <w:t>ст. 184.2 Бюджетного кодекса и ст. 27 Положений о бюджетном процессе в муниципальных образованиях сельских поселений, в</w:t>
      </w:r>
      <w:r w:rsidR="00281BCB">
        <w:t xml:space="preserve"> составе материалов к проектам бюджетов </w:t>
      </w:r>
      <w:r w:rsidR="00281BCB" w:rsidRPr="00AD589D">
        <w:t xml:space="preserve">не были представлены </w:t>
      </w:r>
      <w:r w:rsidR="00281BCB">
        <w:t>п</w:t>
      </w:r>
      <w:r w:rsidR="00281BCB" w:rsidRPr="00AD589D">
        <w:t>редварительные итоги развития территорий за 20</w:t>
      </w:r>
      <w:r w:rsidR="00281BCB">
        <w:t>20</w:t>
      </w:r>
      <w:r w:rsidR="00281BCB" w:rsidRPr="00AD589D">
        <w:t xml:space="preserve"> год и прогнозы развития на 20</w:t>
      </w:r>
      <w:r w:rsidR="00281BCB">
        <w:t>21</w:t>
      </w:r>
      <w:r w:rsidR="00281BCB" w:rsidRPr="00AD589D">
        <w:t>-202</w:t>
      </w:r>
      <w:r w:rsidR="00281BCB">
        <w:t>3</w:t>
      </w:r>
      <w:r w:rsidR="00281BCB" w:rsidRPr="00AD589D">
        <w:t xml:space="preserve"> годы</w:t>
      </w:r>
      <w:r w:rsidR="00CA16A2">
        <w:t>. А</w:t>
      </w:r>
      <w:r w:rsidR="00281BCB">
        <w:t xml:space="preserve">налогичные </w:t>
      </w:r>
      <w:r w:rsidR="006F6198">
        <w:t>замечания</w:t>
      </w:r>
      <w:r w:rsidR="00281BCB">
        <w:t xml:space="preserve"> содержались</w:t>
      </w:r>
      <w:r w:rsidR="00281BCB" w:rsidRPr="00AD589D">
        <w:t xml:space="preserve"> </w:t>
      </w:r>
      <w:r w:rsidR="00281BCB">
        <w:t xml:space="preserve">в </w:t>
      </w:r>
      <w:r w:rsidR="00D1070B">
        <w:t>четырех</w:t>
      </w:r>
      <w:r w:rsidR="00281BCB" w:rsidRPr="00AD589D">
        <w:t xml:space="preserve"> предыдущи</w:t>
      </w:r>
      <w:r w:rsidR="00281BCB">
        <w:t>х</w:t>
      </w:r>
      <w:r w:rsidR="00281BCB" w:rsidRPr="00AD589D">
        <w:t xml:space="preserve"> экспертиза</w:t>
      </w:r>
      <w:r w:rsidR="00281BCB">
        <w:t xml:space="preserve">х проектов бюджетов на 2017 год, на 2018 год, на 2019 год, на 2020 год и соответствующие плановые периоды. </w:t>
      </w:r>
      <w:r w:rsidR="00D1070B">
        <w:t>В предыдущем году, пр</w:t>
      </w:r>
      <w:r w:rsidR="00281BCB">
        <w:t xml:space="preserve">и </w:t>
      </w:r>
      <w:r w:rsidR="00D1070B">
        <w:t xml:space="preserve">направлении </w:t>
      </w:r>
      <w:r w:rsidR="00281BCB">
        <w:t>проекта бюджета на 2020 го</w:t>
      </w:r>
      <w:r w:rsidR="00D1070B">
        <w:t>д на экспертизу,</w:t>
      </w:r>
      <w:r w:rsidR="00281BCB">
        <w:t xml:space="preserve"> только одной администрацией сельского поселения «Кажым» были представлены данные материалы, а также после рассмотрения </w:t>
      </w:r>
      <w:r w:rsidR="00D1070B">
        <w:t xml:space="preserve">подготовленного Контрольно-ревизионной комиссией </w:t>
      </w:r>
      <w:r w:rsidR="00281BCB">
        <w:t xml:space="preserve">заключения на проект бюджета на 2020 год были представлены указанные материалы еще одним главным распорядителем </w:t>
      </w:r>
      <w:r w:rsidR="006F6198" w:rsidRPr="002F0F5F">
        <w:t>–</w:t>
      </w:r>
      <w:r w:rsidR="00281BCB">
        <w:t xml:space="preserve"> администрацией сельского поселения «</w:t>
      </w:r>
      <w:proofErr w:type="spellStart"/>
      <w:r w:rsidR="00281BCB">
        <w:t>Ужга</w:t>
      </w:r>
      <w:proofErr w:type="spellEnd"/>
      <w:r w:rsidR="00281BCB">
        <w:t>».</w:t>
      </w:r>
      <w:r w:rsidR="00CA16A2">
        <w:t xml:space="preserve"> </w:t>
      </w:r>
    </w:p>
    <w:p w:rsidR="00CA16A2" w:rsidRDefault="00281BCB" w:rsidP="00CA16A2">
      <w:pPr>
        <w:ind w:firstLine="709"/>
        <w:jc w:val="both"/>
        <w:rPr>
          <w:color w:val="000000"/>
        </w:rPr>
      </w:pPr>
      <w:r w:rsidRPr="00A2102A">
        <w:rPr>
          <w:color w:val="000000"/>
        </w:rPr>
        <w:t xml:space="preserve">Подготовка </w:t>
      </w:r>
      <w:r w:rsidR="00E41E72">
        <w:rPr>
          <w:color w:val="000000"/>
        </w:rPr>
        <w:t xml:space="preserve">указанных </w:t>
      </w:r>
      <w:r w:rsidRPr="00A2102A">
        <w:rPr>
          <w:color w:val="000000"/>
        </w:rPr>
        <w:t>материалов важна тем, что анализ социально-экономического</w:t>
      </w:r>
      <w:r w:rsidR="00A2102A" w:rsidRPr="00A2102A">
        <w:rPr>
          <w:color w:val="000000"/>
        </w:rPr>
        <w:t xml:space="preserve"> развития территории, определение приоритетов развития, </w:t>
      </w:r>
      <w:r w:rsidR="00A2102A">
        <w:rPr>
          <w:color w:val="000000"/>
        </w:rPr>
        <w:t xml:space="preserve">выявление </w:t>
      </w:r>
      <w:r w:rsidR="00A2102A" w:rsidRPr="00A2102A">
        <w:rPr>
          <w:color w:val="000000"/>
        </w:rPr>
        <w:t xml:space="preserve">негативных факторов и диспропорций позволят обозначить точки роста и направления развития территорий, которые </w:t>
      </w:r>
      <w:r w:rsidR="00A2102A" w:rsidRPr="00CA16A2">
        <w:rPr>
          <w:color w:val="000000"/>
        </w:rPr>
        <w:t>будут способствовать росту благополучия и комфортности проживания населения</w:t>
      </w:r>
      <w:r w:rsidRPr="00CA16A2">
        <w:rPr>
          <w:color w:val="000000"/>
        </w:rPr>
        <w:t>.</w:t>
      </w:r>
    </w:p>
    <w:p w:rsidR="003F1C19" w:rsidRDefault="003F1C19" w:rsidP="00281BCB">
      <w:pPr>
        <w:ind w:firstLine="709"/>
        <w:jc w:val="both"/>
        <w:rPr>
          <w:rFonts w:eastAsia="Arial Unicode MS"/>
        </w:rPr>
      </w:pPr>
      <w:r>
        <w:t>С</w:t>
      </w:r>
      <w:r w:rsidR="00CA16A2" w:rsidRPr="00D1070B">
        <w:rPr>
          <w:rFonts w:eastAsia="Calibri"/>
        </w:rPr>
        <w:t>огласно положениям Бюджетного кодекса</w:t>
      </w:r>
      <w:r w:rsidR="00D1070B">
        <w:rPr>
          <w:rFonts w:eastAsia="Calibri"/>
        </w:rPr>
        <w:t>,</w:t>
      </w:r>
      <w:r w:rsidR="00CA16A2" w:rsidRPr="00D1070B">
        <w:rPr>
          <w:rFonts w:eastAsia="Calibri"/>
        </w:rPr>
        <w:t xml:space="preserve"> принцип достоверности бюджета означает </w:t>
      </w:r>
      <w:r w:rsidR="00CA16A2" w:rsidRPr="00D1070B">
        <w:t>надежность показателей прогноза социально-экономического развития соответствующей территории и реалистичность расчета доходов и расходов бюджета (</w:t>
      </w:r>
      <w:r w:rsidR="00CA16A2" w:rsidRPr="00D1070B">
        <w:rPr>
          <w:rFonts w:eastAsia="Calibri"/>
        </w:rPr>
        <w:t>ст. 28, 37)</w:t>
      </w:r>
      <w:r w:rsidR="00CA16A2" w:rsidRPr="00D1070B">
        <w:t xml:space="preserve">; </w:t>
      </w:r>
      <w:r w:rsidR="00CA16A2" w:rsidRPr="00D1070B">
        <w:rPr>
          <w:rFonts w:eastAsia="Arial Unicode MS"/>
        </w:rPr>
        <w:t xml:space="preserve">проект бюджета </w:t>
      </w:r>
      <w:r w:rsidR="00CA16A2" w:rsidRPr="00D1070B">
        <w:rPr>
          <w:rFonts w:eastAsia="Arial Unicode MS"/>
        </w:rPr>
        <w:lastRenderedPageBreak/>
        <w:t xml:space="preserve">составляется на основе прогноза социально-экономического развития в целях финансового обеспечения расходных обязательств (ст. 169). </w:t>
      </w:r>
    </w:p>
    <w:p w:rsidR="008D32D0" w:rsidRPr="008D32D0" w:rsidRDefault="00281BCB" w:rsidP="00281BCB">
      <w:pPr>
        <w:ind w:firstLine="709"/>
        <w:jc w:val="both"/>
        <w:rPr>
          <w:b/>
          <w:i/>
          <w:color w:val="000000"/>
        </w:rPr>
      </w:pPr>
      <w:r w:rsidRPr="008D32D0">
        <w:rPr>
          <w:b/>
          <w:i/>
          <w:color w:val="000000"/>
        </w:rPr>
        <w:t>Контрольно-ревизионн</w:t>
      </w:r>
      <w:r w:rsidR="00E41E72" w:rsidRPr="008D32D0">
        <w:rPr>
          <w:b/>
          <w:i/>
          <w:color w:val="000000"/>
        </w:rPr>
        <w:t xml:space="preserve">ой </w:t>
      </w:r>
      <w:r w:rsidRPr="008D32D0">
        <w:rPr>
          <w:b/>
          <w:i/>
          <w:color w:val="000000"/>
        </w:rPr>
        <w:t>комисси</w:t>
      </w:r>
      <w:r w:rsidR="00E41E72" w:rsidRPr="008D32D0">
        <w:rPr>
          <w:b/>
          <w:i/>
          <w:color w:val="000000"/>
        </w:rPr>
        <w:t>ей было обращено в</w:t>
      </w:r>
      <w:r w:rsidRPr="008D32D0">
        <w:rPr>
          <w:b/>
          <w:i/>
          <w:color w:val="000000"/>
        </w:rPr>
        <w:t>нимание</w:t>
      </w:r>
      <w:r w:rsidR="00E41E72" w:rsidRPr="008D32D0">
        <w:rPr>
          <w:b/>
          <w:i/>
          <w:color w:val="000000"/>
        </w:rPr>
        <w:t xml:space="preserve"> глав сельских поселений</w:t>
      </w:r>
      <w:r w:rsidR="00D1070B" w:rsidRPr="008D32D0">
        <w:rPr>
          <w:b/>
          <w:i/>
          <w:color w:val="000000"/>
        </w:rPr>
        <w:t xml:space="preserve"> на то, </w:t>
      </w:r>
      <w:r w:rsidR="00E41E72" w:rsidRPr="008D32D0">
        <w:rPr>
          <w:b/>
          <w:i/>
          <w:color w:val="000000"/>
        </w:rPr>
        <w:t xml:space="preserve">что </w:t>
      </w:r>
      <w:r w:rsidR="008D32D0" w:rsidRPr="008D32D0">
        <w:rPr>
          <w:b/>
          <w:i/>
          <w:color w:val="000000"/>
        </w:rPr>
        <w:t xml:space="preserve">в дальнейшем </w:t>
      </w:r>
      <w:r w:rsidR="00CA16A2" w:rsidRPr="008D32D0">
        <w:rPr>
          <w:b/>
          <w:i/>
          <w:color w:val="000000"/>
        </w:rPr>
        <w:t>отсутствие итогов развития и прогнозов развития на предстоящий трехлетний период в составе материалов к проекту бюджета</w:t>
      </w:r>
      <w:r w:rsidR="00E41E72" w:rsidRPr="008D32D0">
        <w:rPr>
          <w:b/>
          <w:i/>
          <w:color w:val="000000"/>
        </w:rPr>
        <w:t>, может явиться основанием для возврата проекта бюджета на доработку</w:t>
      </w:r>
      <w:r w:rsidR="008D32D0" w:rsidRPr="008D32D0">
        <w:rPr>
          <w:b/>
          <w:i/>
          <w:color w:val="000000"/>
        </w:rPr>
        <w:t xml:space="preserve">, так как не </w:t>
      </w:r>
      <w:r w:rsidR="00CA16A2" w:rsidRPr="008D32D0">
        <w:rPr>
          <w:b/>
          <w:i/>
          <w:color w:val="000000"/>
        </w:rPr>
        <w:t>соответств</w:t>
      </w:r>
      <w:r w:rsidR="008D32D0" w:rsidRPr="008D32D0">
        <w:rPr>
          <w:b/>
          <w:i/>
          <w:color w:val="000000"/>
        </w:rPr>
        <w:t>ует</w:t>
      </w:r>
      <w:r w:rsidR="00CA16A2" w:rsidRPr="008D32D0">
        <w:rPr>
          <w:b/>
          <w:i/>
          <w:color w:val="000000"/>
        </w:rPr>
        <w:t xml:space="preserve"> требованиям </w:t>
      </w:r>
      <w:r w:rsidR="008D32D0" w:rsidRPr="008D32D0">
        <w:rPr>
          <w:b/>
          <w:i/>
          <w:color w:val="000000"/>
        </w:rPr>
        <w:t>бюджетного законодательства.</w:t>
      </w:r>
    </w:p>
    <w:p w:rsidR="008D32D0" w:rsidRDefault="008D32D0" w:rsidP="00281BCB">
      <w:pPr>
        <w:ind w:firstLine="709"/>
        <w:jc w:val="both"/>
        <w:rPr>
          <w:color w:val="000000"/>
        </w:rPr>
      </w:pPr>
    </w:p>
    <w:p w:rsidR="00281BCB" w:rsidRPr="00CC2279" w:rsidRDefault="00C773BA" w:rsidP="00281BCB">
      <w:pPr>
        <w:ind w:firstLine="709"/>
        <w:jc w:val="both"/>
        <w:rPr>
          <w:color w:val="000000"/>
        </w:rPr>
      </w:pPr>
      <w:r>
        <w:t>7</w:t>
      </w:r>
      <w:r w:rsidR="00281BCB">
        <w:t xml:space="preserve">. </w:t>
      </w:r>
      <w:r w:rsidR="00281BCB" w:rsidRPr="00CC2279">
        <w:rPr>
          <w:color w:val="000000"/>
        </w:rPr>
        <w:t xml:space="preserve">Советам сельских поселений </w:t>
      </w:r>
      <w:r w:rsidR="00281BCB">
        <w:rPr>
          <w:color w:val="000000"/>
        </w:rPr>
        <w:t>р</w:t>
      </w:r>
      <w:r w:rsidR="00281BCB" w:rsidRPr="00CC2279">
        <w:rPr>
          <w:color w:val="000000"/>
        </w:rPr>
        <w:t>екомендова</w:t>
      </w:r>
      <w:r w:rsidR="00281BCB">
        <w:rPr>
          <w:color w:val="000000"/>
        </w:rPr>
        <w:t>но</w:t>
      </w:r>
      <w:r w:rsidR="00281BCB" w:rsidRPr="00CC2279">
        <w:rPr>
          <w:color w:val="000000"/>
        </w:rPr>
        <w:t xml:space="preserve"> </w:t>
      </w:r>
      <w:r w:rsidR="00281BCB">
        <w:t xml:space="preserve">поддержать </w:t>
      </w:r>
      <w:r w:rsidR="00281BCB" w:rsidRPr="00CC2279">
        <w:rPr>
          <w:color w:val="000000"/>
        </w:rPr>
        <w:t>проекты решений «О бюджете сельского поселения «_» на 20</w:t>
      </w:r>
      <w:r w:rsidR="00281BCB">
        <w:rPr>
          <w:color w:val="000000"/>
        </w:rPr>
        <w:t>21</w:t>
      </w:r>
      <w:r w:rsidR="00281BCB" w:rsidRPr="00CC2279">
        <w:rPr>
          <w:color w:val="000000"/>
        </w:rPr>
        <w:t xml:space="preserve"> год и плановый период 20</w:t>
      </w:r>
      <w:r w:rsidR="00281BCB">
        <w:rPr>
          <w:color w:val="000000"/>
        </w:rPr>
        <w:t xml:space="preserve">22 </w:t>
      </w:r>
      <w:r w:rsidR="00281BCB" w:rsidRPr="00CC2279">
        <w:rPr>
          <w:color w:val="000000"/>
        </w:rPr>
        <w:t>и 20</w:t>
      </w:r>
      <w:r w:rsidR="00281BCB">
        <w:rPr>
          <w:color w:val="000000"/>
        </w:rPr>
        <w:t>23</w:t>
      </w:r>
      <w:r w:rsidR="00281BCB" w:rsidRPr="00CC2279">
        <w:rPr>
          <w:color w:val="000000"/>
        </w:rPr>
        <w:t xml:space="preserve"> годов». </w:t>
      </w:r>
    </w:p>
    <w:p w:rsidR="00281BCB" w:rsidRDefault="00281BCB" w:rsidP="00281BCB">
      <w:pPr>
        <w:ind w:firstLine="709"/>
        <w:jc w:val="both"/>
      </w:pPr>
    </w:p>
    <w:p w:rsidR="00C773BA" w:rsidRDefault="00C773BA" w:rsidP="00281BCB">
      <w:pPr>
        <w:ind w:firstLine="709"/>
        <w:jc w:val="both"/>
      </w:pPr>
    </w:p>
    <w:p w:rsidR="00C773BA" w:rsidRDefault="00C773BA" w:rsidP="00281BCB">
      <w:pPr>
        <w:ind w:firstLine="709"/>
        <w:jc w:val="both"/>
      </w:pPr>
    </w:p>
    <w:p w:rsidR="00281BCB" w:rsidRPr="00CC2279" w:rsidRDefault="00281BCB" w:rsidP="00281BCB">
      <w:pPr>
        <w:ind w:firstLine="709"/>
        <w:jc w:val="both"/>
        <w:rPr>
          <w:color w:val="000000"/>
        </w:rPr>
      </w:pPr>
      <w:r w:rsidRPr="00CC2279">
        <w:t>Председатель Контрольно-ревизионной комиссии</w:t>
      </w:r>
      <w:r>
        <w:tab/>
      </w:r>
      <w:r>
        <w:tab/>
      </w:r>
      <w:r w:rsidRPr="00CC2279">
        <w:tab/>
      </w:r>
      <w:proofErr w:type="spellStart"/>
      <w:r w:rsidRPr="00CC2279">
        <w:t>М.А.Чеснокова</w:t>
      </w:r>
      <w:proofErr w:type="spellEnd"/>
    </w:p>
    <w:p w:rsidR="00052C28" w:rsidRDefault="00052C28">
      <w:pPr>
        <w:spacing w:after="200" w:line="276" w:lineRule="auto"/>
      </w:pPr>
      <w:r>
        <w:br w:type="page"/>
      </w:r>
    </w:p>
    <w:p w:rsidR="00052C28" w:rsidRDefault="00052C28">
      <w:pPr>
        <w:sectPr w:rsidR="00052C28" w:rsidSect="00DC4C71">
          <w:footerReference w:type="even" r:id="rId8"/>
          <w:footerReference w:type="default" r:id="rId9"/>
          <w:pgSz w:w="11906" w:h="16838"/>
          <w:pgMar w:top="567" w:right="567" w:bottom="567" w:left="1134" w:header="709" w:footer="544" w:gutter="0"/>
          <w:cols w:space="708"/>
          <w:docGrid w:linePitch="360"/>
        </w:sect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94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52C28" w:rsidTr="00052C28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K50"/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28" w:rsidRDefault="00052C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2C28" w:rsidTr="00052C28">
        <w:trPr>
          <w:trHeight w:val="31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Кажым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Ужга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052C28" w:rsidTr="00052C28">
        <w:trPr>
          <w:trHeight w:val="31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</w:tr>
      <w:tr w:rsidR="00052C28" w:rsidTr="00052C28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45 095,3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5 763,5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1 213,8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886,3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1 348,0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1 397,0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596,3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1 031,0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268,0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20,0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327,5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309,9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17,6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41 611,0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4 549,7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Дотации, всего, из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5 253,4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4 906,3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2 350,2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2 486,4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1 750,6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1 749,2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1 297,1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3 289,4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2 326,8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ind w:firstLineChars="100" w:firstLine="240"/>
            </w:pPr>
            <w: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5 253,4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4 906,3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2 726,1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2 350,2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2 059,9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1 750,6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1 488,7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1 297,1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2 668,4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2 326,8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ind w:firstLineChars="100" w:firstLine="240"/>
            </w:pPr>
            <w:r>
              <w:t>прочие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Субвенции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247,3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27 448,8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1 649,0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3 280,6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1 300,1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700,2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8 261,3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3 649,4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3 572,4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3 037,3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1 268,0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Прочие 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7,4</w:t>
            </w:r>
          </w:p>
        </w:tc>
      </w:tr>
      <w:tr w:rsidR="00052C28" w:rsidTr="00052C28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rPr>
                <w:b/>
                <w:bCs/>
              </w:rPr>
              <w:t xml:space="preserve">Возврат </w:t>
            </w:r>
            <w:r>
              <w:rPr>
                <w:sz w:val="22"/>
                <w:szCs w:val="22"/>
              </w:rPr>
              <w:t>остатков субсидий, субвенций и иных МБТ, имеющих целевое назначение, прошлых лет из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-52,9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</w:tr>
      <w:tr w:rsidR="00052C28" w:rsidTr="00D679A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rPr>
                <w:color w:val="C00000"/>
              </w:rPr>
            </w:pPr>
          </w:p>
        </w:tc>
      </w:tr>
      <w:tr w:rsidR="00052C28" w:rsidTr="00D679A1">
        <w:trPr>
          <w:trHeight w:val="31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Нючпас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8 СП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052C28" w:rsidTr="00D679A1">
        <w:trPr>
          <w:trHeight w:val="31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в проектах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89 306,2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39 227,3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2 464,0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2 646,9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1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ценностей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82 385,4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32 370,7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Дотации, всего, из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497,5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18 306,3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14 372,8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ind w:firstLineChars="100" w:firstLine="240"/>
            </w:pPr>
            <w: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820,6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14 372,8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ind w:firstLineChars="100" w:firstLine="240"/>
            </w:pPr>
            <w:r>
              <w:t>прочие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Субвенции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1 463,4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754,8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34 000,9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2 349,2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2 708,8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1 604,5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3 826,2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2 149,5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1 680,0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28 465,8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14 074,0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r>
              <w:t>Прочие 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2C28" w:rsidTr="009900EA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Возврат </w:t>
            </w:r>
            <w:r>
              <w:rPr>
                <w:color w:val="000000"/>
                <w:sz w:val="22"/>
                <w:szCs w:val="22"/>
              </w:rPr>
              <w:t>остатков субсидий, субвенций и иных МБТ, имеющих целевое назначение, прошлых лет из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28" w:rsidRDefault="00052C28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52C28" w:rsidRDefault="00052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3455E" w:rsidRDefault="0083455E"/>
    <w:p w:rsidR="009900EA" w:rsidRDefault="009900EA"/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3100"/>
        <w:gridCol w:w="1120"/>
        <w:gridCol w:w="1120"/>
        <w:gridCol w:w="1120"/>
        <w:gridCol w:w="1120"/>
        <w:gridCol w:w="1120"/>
        <w:gridCol w:w="1140"/>
        <w:gridCol w:w="1120"/>
        <w:gridCol w:w="1120"/>
        <w:gridCol w:w="1120"/>
        <w:gridCol w:w="1120"/>
      </w:tblGrid>
      <w:tr w:rsidR="009900EA" w:rsidTr="00414659">
        <w:trPr>
          <w:trHeight w:val="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Койгородок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Подзь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Кажым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Ужга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Койдин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EA" w:rsidRDefault="009900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</w:tr>
      <w:tr w:rsidR="009900EA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 w:rsidP="00D82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46 552,7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10 981,2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5 232,0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8 006,2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4 720,9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6 741,2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5 763,5</w:t>
            </w:r>
          </w:p>
        </w:tc>
      </w:tr>
      <w:tr w:rsidR="009900EA" w:rsidTr="009900E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2 902,7</w:t>
            </w:r>
          </w:p>
        </w:tc>
      </w:tr>
      <w:tr w:rsidR="009900EA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</w:tr>
      <w:tr w:rsidR="009900EA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4 452,4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1 665,7</w:t>
            </w:r>
          </w:p>
        </w:tc>
      </w:tr>
      <w:tr w:rsidR="009900EA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 w:rsidP="00D823A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деят</w:t>
            </w:r>
            <w:r w:rsidR="00D823A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фин.</w:t>
            </w:r>
            <w:r w:rsidR="00D823AA">
              <w:rPr>
                <w:color w:val="000000"/>
                <w:sz w:val="20"/>
                <w:szCs w:val="20"/>
              </w:rPr>
              <w:t xml:space="preserve"> </w:t>
            </w:r>
            <w:r w:rsidR="00027F09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органов </w:t>
            </w:r>
            <w:r w:rsidR="00D823AA">
              <w:rPr>
                <w:color w:val="000000"/>
                <w:sz w:val="20"/>
                <w:szCs w:val="20"/>
              </w:rPr>
              <w:t>ФБН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154,6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9900EA" w:rsidTr="009900E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</w:tr>
      <w:tr w:rsidR="009900EA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00EA" w:rsidTr="00D823AA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222,5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</w:tr>
      <w:tr w:rsidR="009900EA" w:rsidTr="00027F09">
        <w:trPr>
          <w:trHeight w:val="2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0309 Защита населения и территории от ЧС, ...ГО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</w:tr>
      <w:tr w:rsidR="009900EA" w:rsidTr="009900EA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103,4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</w:t>
            </w:r>
            <w:proofErr w:type="spellStart"/>
            <w:r>
              <w:rPr>
                <w:color w:val="000000"/>
                <w:sz w:val="20"/>
                <w:szCs w:val="20"/>
              </w:rPr>
              <w:t>нац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экономики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39 911,3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2 442,7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 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5 384,3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2 442,7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28,1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56,4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353,6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339,3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353,6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900EA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Грива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Кузьель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proofErr w:type="spellStart"/>
            <w:r>
              <w:rPr>
                <w:b/>
                <w:bCs/>
                <w:color w:val="0000CC"/>
              </w:rPr>
              <w:t>Нючпас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ВСЕГО по 8 СП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EA" w:rsidRDefault="009900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2021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> </w:t>
            </w:r>
          </w:p>
        </w:tc>
      </w:tr>
      <w:tr w:rsidR="00027F09" w:rsidTr="00027F0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 w:rsidP="00480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88 898,8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39 227,6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09" w:rsidRDefault="00027F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27F09" w:rsidRDefault="00027F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20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 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29 160,6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23 650,3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 Функционирование высшего должностного лица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5 322,0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15 678,1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7F09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F09" w:rsidRDefault="00027F09" w:rsidP="004807B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0106 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деят-ти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фин. и органов ФБН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09" w:rsidRDefault="00027F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09" w:rsidRDefault="00027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09" w:rsidRDefault="00027F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27F09" w:rsidRDefault="00027F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 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1 158,9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00 Нац.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0309 Защита населения и территории от ЧС, ...ГО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 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0412 Другие вопросы в области </w:t>
            </w:r>
            <w:proofErr w:type="spellStart"/>
            <w:r>
              <w:rPr>
                <w:color w:val="000000"/>
                <w:sz w:val="20"/>
                <w:szCs w:val="20"/>
              </w:rPr>
              <w:t>нац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экономики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   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53 995,8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12 297,9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 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53 994,6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12 297,9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00   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   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165,4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2 349,1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900EA" w:rsidTr="00414659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EA" w:rsidRDefault="009900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   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EA" w:rsidRDefault="009900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900EA" w:rsidRDefault="009900E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9900EA" w:rsidRDefault="009900EA"/>
    <w:sectPr w:rsidR="009900EA" w:rsidSect="00052C28">
      <w:pgSz w:w="16838" w:h="11906" w:orient="landscape"/>
      <w:pgMar w:top="568" w:right="567" w:bottom="426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20" w:rsidRDefault="00F73020">
      <w:r>
        <w:separator/>
      </w:r>
    </w:p>
  </w:endnote>
  <w:endnote w:type="continuationSeparator" w:id="0">
    <w:p w:rsidR="00F73020" w:rsidRDefault="00F7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AA" w:rsidRDefault="00D823AA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3AA" w:rsidRDefault="00D823AA" w:rsidP="00052C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AA" w:rsidRDefault="00D823AA" w:rsidP="0005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659">
      <w:rPr>
        <w:rStyle w:val="a5"/>
        <w:noProof/>
      </w:rPr>
      <w:t>1</w:t>
    </w:r>
    <w:r>
      <w:rPr>
        <w:rStyle w:val="a5"/>
      </w:rPr>
      <w:fldChar w:fldCharType="end"/>
    </w:r>
  </w:p>
  <w:p w:rsidR="00D823AA" w:rsidRDefault="00D823AA" w:rsidP="00052C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20" w:rsidRDefault="00F73020">
      <w:r>
        <w:separator/>
      </w:r>
    </w:p>
  </w:footnote>
  <w:footnote w:type="continuationSeparator" w:id="0">
    <w:p w:rsidR="00F73020" w:rsidRDefault="00F7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B"/>
    <w:rsid w:val="00027F09"/>
    <w:rsid w:val="00052C28"/>
    <w:rsid w:val="000F7FC4"/>
    <w:rsid w:val="001837F8"/>
    <w:rsid w:val="001E23D2"/>
    <w:rsid w:val="00281BCB"/>
    <w:rsid w:val="002F0F5F"/>
    <w:rsid w:val="00332D59"/>
    <w:rsid w:val="003F1C19"/>
    <w:rsid w:val="00414659"/>
    <w:rsid w:val="0043511F"/>
    <w:rsid w:val="005507B9"/>
    <w:rsid w:val="005B0491"/>
    <w:rsid w:val="00652091"/>
    <w:rsid w:val="006C45E2"/>
    <w:rsid w:val="006F6198"/>
    <w:rsid w:val="007436DC"/>
    <w:rsid w:val="007F6C80"/>
    <w:rsid w:val="0083455E"/>
    <w:rsid w:val="008D32D0"/>
    <w:rsid w:val="009900EA"/>
    <w:rsid w:val="00A2102A"/>
    <w:rsid w:val="00A74BC3"/>
    <w:rsid w:val="00B20EFB"/>
    <w:rsid w:val="00C773BA"/>
    <w:rsid w:val="00CA16A2"/>
    <w:rsid w:val="00D046FB"/>
    <w:rsid w:val="00D1070B"/>
    <w:rsid w:val="00D3570B"/>
    <w:rsid w:val="00D679A1"/>
    <w:rsid w:val="00D823AA"/>
    <w:rsid w:val="00DC4C71"/>
    <w:rsid w:val="00E41E72"/>
    <w:rsid w:val="00F26BC2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BC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81BCB"/>
  </w:style>
  <w:style w:type="paragraph" w:customStyle="1" w:styleId="ConsPlusNormal">
    <w:name w:val="ConsPlusNormal"/>
    <w:rsid w:val="0028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Стиль"/>
    <w:rsid w:val="00281B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C7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B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BC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281BCB"/>
  </w:style>
  <w:style w:type="paragraph" w:customStyle="1" w:styleId="ConsPlusNormal">
    <w:name w:val="ConsPlusNormal"/>
    <w:rsid w:val="00281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6">
    <w:name w:val="Стиль"/>
    <w:rsid w:val="00281BC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4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C7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2020-12-21T09:12:00Z</cp:lastPrinted>
  <dcterms:created xsi:type="dcterms:W3CDTF">2020-12-21T15:34:00Z</dcterms:created>
  <dcterms:modified xsi:type="dcterms:W3CDTF">2020-12-21T09:52:00Z</dcterms:modified>
</cp:coreProperties>
</file>